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24B" w:rsidRPr="00F830CC" w:rsidRDefault="00F64F6B" w:rsidP="00737EE9">
      <w:pPr>
        <w:spacing w:after="0" w:line="360" w:lineRule="auto"/>
        <w:ind w:left="2665"/>
        <w:rPr>
          <w:rFonts w:ascii="Cambria" w:hAnsi="Cambria" w:cs="Arial"/>
          <w:b/>
          <w:color w:val="000000"/>
          <w:sz w:val="24"/>
          <w:szCs w:val="24"/>
        </w:rPr>
      </w:pPr>
      <w:r>
        <w:rPr>
          <w:rFonts w:ascii="Cambria" w:hAnsi="Cambria" w:cs="Arial"/>
          <w:b/>
          <w:noProof/>
          <w:color w:val="000000"/>
          <w:sz w:val="24"/>
          <w:szCs w:val="24"/>
          <w:lang w:val="en-US"/>
        </w:rPr>
        <w:pict>
          <v:shapetype id="_x0000_t202" coordsize="21600,21600" o:spt="202" path="m,l,21600r21600,l21600,xe">
            <v:stroke joinstyle="miter"/>
            <v:path gradientshapeok="t" o:connecttype="rect"/>
          </v:shapetype>
          <v:shape id="_x0000_s1028" type="#_x0000_t202" style="position:absolute;left:0;text-align:left;margin-left:-9.3pt;margin-top:4.6pt;width:115.5pt;height:111.75pt;z-index:251661312">
            <v:textbox>
              <w:txbxContent>
                <w:p w:rsidR="00737EE9" w:rsidRDefault="00737EE9" w:rsidP="00737EE9">
                  <w:r>
                    <w:rPr>
                      <w:noProof/>
                      <w:lang w:val="en-US"/>
                    </w:rPr>
                    <w:drawing>
                      <wp:inline distT="0" distB="0" distL="0" distR="0">
                        <wp:extent cx="1274324" cy="1274324"/>
                        <wp:effectExtent l="19050" t="0" r="2026" b="0"/>
                        <wp:docPr id="3" name="Picture 2" descr="C:\Users\tayade\Desktop\CODE\ARTIC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ade\Desktop\CODE\ARTICLE 1.png"/>
                                <pic:cNvPicPr>
                                  <a:picLocks noChangeAspect="1" noChangeArrowheads="1"/>
                                </pic:cNvPicPr>
                              </pic:nvPicPr>
                              <pic:blipFill>
                                <a:blip r:embed="rId8"/>
                                <a:srcRect/>
                                <a:stretch>
                                  <a:fillRect/>
                                </a:stretch>
                              </pic:blipFill>
                              <pic:spPr bwMode="auto">
                                <a:xfrm>
                                  <a:off x="0" y="0"/>
                                  <a:ext cx="1271964" cy="1271964"/>
                                </a:xfrm>
                                <a:prstGeom prst="rect">
                                  <a:avLst/>
                                </a:prstGeom>
                                <a:noFill/>
                                <a:ln w="9525">
                                  <a:noFill/>
                                  <a:miter lim="800000"/>
                                  <a:headEnd/>
                                  <a:tailEnd/>
                                </a:ln>
                              </pic:spPr>
                            </pic:pic>
                          </a:graphicData>
                        </a:graphic>
                      </wp:inline>
                    </w:drawing>
                  </w:r>
                </w:p>
              </w:txbxContent>
            </v:textbox>
          </v:shape>
        </w:pict>
      </w:r>
      <w:r w:rsidR="00A4624B" w:rsidRPr="00F830CC">
        <w:rPr>
          <w:rFonts w:ascii="Cambria" w:hAnsi="Cambria" w:cs="Arial"/>
          <w:b/>
          <w:color w:val="000000"/>
          <w:sz w:val="24"/>
          <w:szCs w:val="24"/>
          <w:highlight w:val="lightGray"/>
        </w:rPr>
        <w:t>Review article:</w:t>
      </w:r>
    </w:p>
    <w:p w:rsidR="00A4624B" w:rsidRPr="00F830CC" w:rsidRDefault="00F830CC" w:rsidP="00737EE9">
      <w:pPr>
        <w:spacing w:after="0" w:line="360" w:lineRule="auto"/>
        <w:ind w:left="2665"/>
        <w:rPr>
          <w:rFonts w:ascii="Cambria" w:hAnsi="Cambria" w:cs="Times New Roman"/>
          <w:b/>
          <w:color w:val="0070C0"/>
          <w:sz w:val="28"/>
          <w:szCs w:val="28"/>
          <w:u w:val="single"/>
        </w:rPr>
      </w:pPr>
      <w:r>
        <w:rPr>
          <w:rFonts w:ascii="Cambria" w:hAnsi="Cambria" w:cs="Times New Roman"/>
          <w:b/>
          <w:color w:val="0070C0"/>
          <w:sz w:val="28"/>
          <w:szCs w:val="28"/>
        </w:rPr>
        <w:t>Point of care – A</w:t>
      </w:r>
      <w:r w:rsidR="00A4624B" w:rsidRPr="00F830CC">
        <w:rPr>
          <w:rFonts w:ascii="Cambria" w:hAnsi="Cambria" w:cs="Times New Roman"/>
          <w:b/>
          <w:color w:val="0070C0"/>
          <w:sz w:val="28"/>
          <w:szCs w:val="28"/>
        </w:rPr>
        <w:t xml:space="preserve"> novel approach for fast periodontal diagnosis</w:t>
      </w:r>
    </w:p>
    <w:p w:rsidR="00A4624B" w:rsidRPr="00F830CC" w:rsidRDefault="00B56F7B" w:rsidP="00737EE9">
      <w:pPr>
        <w:spacing w:after="0" w:line="360" w:lineRule="auto"/>
        <w:ind w:left="2665"/>
        <w:rPr>
          <w:rFonts w:ascii="Cambria" w:hAnsi="Cambria" w:cs="Times New Roman"/>
          <w:b/>
          <w:sz w:val="20"/>
          <w:szCs w:val="20"/>
        </w:rPr>
      </w:pPr>
      <w:r w:rsidRPr="00B56F7B">
        <w:rPr>
          <w:rFonts w:ascii="Cambria" w:hAnsi="Cambria"/>
          <w:b/>
          <w:color w:val="000000"/>
          <w:sz w:val="20"/>
          <w:szCs w:val="20"/>
          <w:vertAlign w:val="superscript"/>
        </w:rPr>
        <w:t>1</w:t>
      </w:r>
      <w:r w:rsidR="00A4624B" w:rsidRPr="00B56F7B">
        <w:rPr>
          <w:rFonts w:ascii="Cambria" w:hAnsi="Cambria"/>
          <w:b/>
          <w:color w:val="000000"/>
          <w:sz w:val="20"/>
          <w:szCs w:val="20"/>
          <w:vertAlign w:val="superscript"/>
        </w:rPr>
        <w:t xml:space="preserve"> </w:t>
      </w:r>
      <w:r w:rsidR="00A4624B" w:rsidRPr="00F830CC">
        <w:rPr>
          <w:rFonts w:ascii="Cambria" w:hAnsi="Cambria" w:cs="Times New Roman"/>
          <w:b/>
          <w:sz w:val="20"/>
          <w:szCs w:val="20"/>
        </w:rPr>
        <w:t xml:space="preserve">Dr. Mahesh </w:t>
      </w:r>
      <w:proofErr w:type="spellStart"/>
      <w:proofErr w:type="gramStart"/>
      <w:r w:rsidR="00A4624B" w:rsidRPr="00F830CC">
        <w:rPr>
          <w:rFonts w:ascii="Cambria" w:hAnsi="Cambria" w:cs="Times New Roman"/>
          <w:b/>
          <w:sz w:val="20"/>
          <w:szCs w:val="20"/>
        </w:rPr>
        <w:t>Chavda</w:t>
      </w:r>
      <w:proofErr w:type="spellEnd"/>
      <w:r w:rsidR="00A4624B" w:rsidRPr="00F830CC">
        <w:rPr>
          <w:rFonts w:ascii="Cambria" w:hAnsi="Cambria" w:cs="Times New Roman"/>
          <w:b/>
          <w:sz w:val="20"/>
          <w:szCs w:val="20"/>
        </w:rPr>
        <w:t xml:space="preserve"> ,</w:t>
      </w:r>
      <w:proofErr w:type="gramEnd"/>
      <w:r w:rsidR="00A4624B" w:rsidRPr="00F830CC">
        <w:rPr>
          <w:rFonts w:ascii="Cambria" w:hAnsi="Cambria" w:cs="Times New Roman"/>
          <w:b/>
          <w:sz w:val="20"/>
          <w:szCs w:val="20"/>
        </w:rPr>
        <w:t xml:space="preserve">  </w:t>
      </w:r>
      <w:r w:rsidRPr="00B56F7B">
        <w:rPr>
          <w:rFonts w:ascii="Cambria" w:hAnsi="Cambria" w:cs="Times New Roman"/>
          <w:b/>
          <w:sz w:val="20"/>
          <w:szCs w:val="20"/>
          <w:vertAlign w:val="superscript"/>
        </w:rPr>
        <w:t>2</w:t>
      </w:r>
      <w:r w:rsidR="00A4624B" w:rsidRPr="00F830CC">
        <w:rPr>
          <w:rFonts w:ascii="Cambria" w:hAnsi="Cambria" w:cs="Times New Roman"/>
          <w:b/>
          <w:sz w:val="20"/>
          <w:szCs w:val="20"/>
        </w:rPr>
        <w:t xml:space="preserve">Dr. </w:t>
      </w:r>
      <w:proofErr w:type="spellStart"/>
      <w:r w:rsidR="00A4624B" w:rsidRPr="00F830CC">
        <w:rPr>
          <w:rFonts w:ascii="Cambria" w:hAnsi="Cambria" w:cs="Times New Roman"/>
          <w:b/>
          <w:sz w:val="20"/>
          <w:szCs w:val="20"/>
        </w:rPr>
        <w:t>Rachana</w:t>
      </w:r>
      <w:proofErr w:type="spellEnd"/>
      <w:r w:rsidR="00A4624B" w:rsidRPr="00F830CC">
        <w:rPr>
          <w:rFonts w:ascii="Cambria" w:hAnsi="Cambria" w:cs="Times New Roman"/>
          <w:b/>
          <w:sz w:val="20"/>
          <w:szCs w:val="20"/>
        </w:rPr>
        <w:t xml:space="preserve"> </w:t>
      </w:r>
      <w:proofErr w:type="spellStart"/>
      <w:r w:rsidR="00A4624B" w:rsidRPr="00F830CC">
        <w:rPr>
          <w:rFonts w:ascii="Cambria" w:hAnsi="Cambria" w:cs="Times New Roman"/>
          <w:b/>
          <w:sz w:val="20"/>
          <w:szCs w:val="20"/>
        </w:rPr>
        <w:t>Gaonkar</w:t>
      </w:r>
      <w:proofErr w:type="spellEnd"/>
      <w:r w:rsidR="00A4624B" w:rsidRPr="00F830CC">
        <w:rPr>
          <w:rFonts w:ascii="Cambria" w:hAnsi="Cambria" w:cs="Times New Roman"/>
          <w:b/>
          <w:sz w:val="20"/>
          <w:szCs w:val="20"/>
        </w:rPr>
        <w:t xml:space="preserve">                                  </w:t>
      </w:r>
    </w:p>
    <w:p w:rsidR="00B56F7B" w:rsidRDefault="00B56F7B" w:rsidP="00737EE9">
      <w:pPr>
        <w:spacing w:after="0" w:line="240" w:lineRule="auto"/>
        <w:ind w:left="2665"/>
        <w:rPr>
          <w:rFonts w:ascii="Times New Roman" w:eastAsia="Times New Roman" w:hAnsi="Times New Roman" w:cs="Times New Roman"/>
          <w:sz w:val="24"/>
          <w:szCs w:val="24"/>
          <w:lang w:val="en-US"/>
        </w:rPr>
      </w:pPr>
    </w:p>
    <w:p w:rsidR="00B56F7B" w:rsidRPr="00B56F7B" w:rsidRDefault="00B56F7B" w:rsidP="00737EE9">
      <w:pPr>
        <w:spacing w:after="0" w:line="360" w:lineRule="auto"/>
        <w:ind w:left="2665"/>
        <w:rPr>
          <w:rFonts w:asciiTheme="majorHAnsi" w:eastAsia="Times New Roman" w:hAnsiTheme="majorHAnsi" w:cs="Times New Roman"/>
          <w:sz w:val="18"/>
          <w:szCs w:val="18"/>
          <w:lang w:val="en-US"/>
        </w:rPr>
      </w:pPr>
      <w:r w:rsidRPr="00B56F7B">
        <w:rPr>
          <w:rFonts w:asciiTheme="majorHAnsi" w:eastAsia="Times New Roman" w:hAnsiTheme="majorHAnsi" w:cs="Times New Roman"/>
          <w:sz w:val="18"/>
          <w:szCs w:val="18"/>
          <w:lang w:val="en-US"/>
        </w:rPr>
        <w:t xml:space="preserve">1. Professor, Department of </w:t>
      </w:r>
      <w:proofErr w:type="spellStart"/>
      <w:r w:rsidRPr="00B56F7B">
        <w:rPr>
          <w:rFonts w:asciiTheme="majorHAnsi" w:eastAsia="Times New Roman" w:hAnsiTheme="majorHAnsi" w:cs="Times New Roman"/>
          <w:sz w:val="18"/>
          <w:szCs w:val="18"/>
          <w:lang w:val="en-US"/>
        </w:rPr>
        <w:t>Periodontology</w:t>
      </w:r>
      <w:proofErr w:type="spellEnd"/>
      <w:r w:rsidRPr="00B56F7B">
        <w:rPr>
          <w:rFonts w:asciiTheme="majorHAnsi" w:eastAsia="Times New Roman" w:hAnsiTheme="majorHAnsi" w:cs="Times New Roman"/>
          <w:sz w:val="18"/>
          <w:szCs w:val="18"/>
          <w:lang w:val="en-US"/>
        </w:rPr>
        <w:t>.</w:t>
      </w:r>
    </w:p>
    <w:p w:rsidR="00B56F7B" w:rsidRPr="00B56F7B" w:rsidRDefault="00F64F6B" w:rsidP="00737EE9">
      <w:pPr>
        <w:spacing w:after="0" w:line="360" w:lineRule="auto"/>
        <w:ind w:left="2665"/>
        <w:rPr>
          <w:rFonts w:asciiTheme="majorHAnsi" w:eastAsia="Times New Roman" w:hAnsiTheme="majorHAnsi" w:cs="Times New Roman"/>
          <w:sz w:val="18"/>
          <w:szCs w:val="18"/>
          <w:lang w:val="en-US"/>
        </w:rPr>
      </w:pPr>
      <w:r w:rsidRPr="00F64F6B">
        <w:rPr>
          <w:rFonts w:asciiTheme="majorHAnsi" w:hAnsiTheme="majorHAnsi" w:cs="Arial"/>
          <w:noProof/>
          <w:color w:val="222222"/>
          <w:sz w:val="18"/>
          <w:szCs w:val="18"/>
          <w:lang w:val="en-US"/>
        </w:rPr>
        <w:pict>
          <v:shape id="_x0000_s1029" type="#_x0000_t202" style="position:absolute;left:0;text-align:left;margin-left:-9.3pt;margin-top:8.05pt;width:115.5pt;height:20.25pt;z-index:251662336">
            <v:textbox>
              <w:txbxContent>
                <w:p w:rsidR="00737EE9" w:rsidRDefault="00737EE9" w:rsidP="00737EE9">
                  <w:r>
                    <w:t xml:space="preserve">QR Code: Scan Here </w:t>
                  </w:r>
                </w:p>
              </w:txbxContent>
            </v:textbox>
          </v:shape>
        </w:pict>
      </w:r>
      <w:r w:rsidR="00B56F7B" w:rsidRPr="00B56F7B">
        <w:rPr>
          <w:rFonts w:asciiTheme="majorHAnsi" w:eastAsia="Times New Roman" w:hAnsiTheme="majorHAnsi" w:cs="Times New Roman"/>
          <w:sz w:val="18"/>
          <w:szCs w:val="18"/>
          <w:lang w:val="en-US"/>
        </w:rPr>
        <w:t xml:space="preserve">2. Post graduate student, Department of </w:t>
      </w:r>
      <w:proofErr w:type="spellStart"/>
      <w:r w:rsidR="00B56F7B" w:rsidRPr="00B56F7B">
        <w:rPr>
          <w:rFonts w:asciiTheme="majorHAnsi" w:eastAsia="Times New Roman" w:hAnsiTheme="majorHAnsi" w:cs="Times New Roman"/>
          <w:sz w:val="18"/>
          <w:szCs w:val="18"/>
          <w:lang w:val="en-US"/>
        </w:rPr>
        <w:t>Periodontology</w:t>
      </w:r>
      <w:proofErr w:type="spellEnd"/>
      <w:r w:rsidR="00B56F7B" w:rsidRPr="00B56F7B">
        <w:rPr>
          <w:rFonts w:asciiTheme="majorHAnsi" w:eastAsia="Times New Roman" w:hAnsiTheme="majorHAnsi" w:cs="Times New Roman"/>
          <w:sz w:val="18"/>
          <w:szCs w:val="18"/>
          <w:lang w:val="en-US"/>
        </w:rPr>
        <w:t>.</w:t>
      </w:r>
    </w:p>
    <w:p w:rsidR="00F830CC" w:rsidRPr="00B56F7B" w:rsidRDefault="00B56F7B" w:rsidP="00737EE9">
      <w:pPr>
        <w:spacing w:after="0" w:line="360" w:lineRule="auto"/>
        <w:ind w:left="2665"/>
        <w:rPr>
          <w:rFonts w:asciiTheme="majorHAnsi" w:hAnsiTheme="majorHAnsi" w:cs="Times New Roman"/>
          <w:bCs/>
          <w:sz w:val="18"/>
          <w:szCs w:val="18"/>
        </w:rPr>
      </w:pPr>
      <w:r w:rsidRPr="00B56F7B">
        <w:rPr>
          <w:rFonts w:asciiTheme="majorHAnsi" w:hAnsiTheme="majorHAnsi" w:cs="Arial"/>
          <w:color w:val="222222"/>
          <w:sz w:val="18"/>
          <w:szCs w:val="18"/>
          <w:shd w:val="clear" w:color="auto" w:fill="FFFFFF"/>
        </w:rPr>
        <w:t xml:space="preserve">Department of </w:t>
      </w:r>
      <w:proofErr w:type="spellStart"/>
      <w:r w:rsidRPr="00B56F7B">
        <w:rPr>
          <w:rFonts w:asciiTheme="majorHAnsi" w:hAnsiTheme="majorHAnsi" w:cs="Arial"/>
          <w:color w:val="222222"/>
          <w:sz w:val="18"/>
          <w:szCs w:val="18"/>
          <w:shd w:val="clear" w:color="auto" w:fill="FFFFFF"/>
        </w:rPr>
        <w:t>Periodontology.</w:t>
      </w:r>
      <w:r w:rsidR="00F830CC" w:rsidRPr="00B56F7B">
        <w:rPr>
          <w:rFonts w:asciiTheme="majorHAnsi" w:hAnsiTheme="majorHAnsi" w:cs="Times New Roman"/>
          <w:bCs/>
          <w:sz w:val="18"/>
          <w:szCs w:val="18"/>
        </w:rPr>
        <w:t>Govt.Dental</w:t>
      </w:r>
      <w:proofErr w:type="spellEnd"/>
      <w:r w:rsidR="00F830CC" w:rsidRPr="00B56F7B">
        <w:rPr>
          <w:rFonts w:asciiTheme="majorHAnsi" w:hAnsiTheme="majorHAnsi" w:cs="Times New Roman"/>
          <w:bCs/>
          <w:sz w:val="18"/>
          <w:szCs w:val="18"/>
        </w:rPr>
        <w:t xml:space="preserve"> College and Hospital Ahmedabad, Gujrat </w:t>
      </w:r>
    </w:p>
    <w:p w:rsidR="00A4624B" w:rsidRPr="00B56F7B" w:rsidRDefault="00A4624B" w:rsidP="00737EE9">
      <w:pPr>
        <w:spacing w:after="0" w:line="360" w:lineRule="auto"/>
        <w:ind w:left="2665"/>
        <w:rPr>
          <w:rFonts w:asciiTheme="majorHAnsi" w:hAnsiTheme="majorHAnsi" w:cs="Times New Roman"/>
          <w:b/>
          <w:sz w:val="18"/>
          <w:szCs w:val="18"/>
          <w:u w:val="single"/>
        </w:rPr>
      </w:pPr>
      <w:r w:rsidRPr="00B56F7B">
        <w:rPr>
          <w:rFonts w:asciiTheme="majorHAnsi" w:hAnsiTheme="majorHAnsi"/>
          <w:color w:val="000000"/>
          <w:sz w:val="18"/>
          <w:szCs w:val="18"/>
        </w:rPr>
        <w:t xml:space="preserve">Corresponding author: </w:t>
      </w:r>
      <w:r w:rsidRPr="00B56F7B">
        <w:rPr>
          <w:rFonts w:asciiTheme="majorHAnsi" w:hAnsiTheme="majorHAnsi"/>
          <w:sz w:val="18"/>
          <w:szCs w:val="18"/>
        </w:rPr>
        <w:t xml:space="preserve">Dr. </w:t>
      </w:r>
      <w:proofErr w:type="spellStart"/>
      <w:r w:rsidRPr="00B56F7B">
        <w:rPr>
          <w:rFonts w:asciiTheme="majorHAnsi" w:hAnsiTheme="majorHAnsi"/>
          <w:sz w:val="18"/>
          <w:szCs w:val="18"/>
        </w:rPr>
        <w:t>Rachana</w:t>
      </w:r>
      <w:proofErr w:type="spellEnd"/>
      <w:r w:rsidRPr="00B56F7B">
        <w:rPr>
          <w:rFonts w:asciiTheme="majorHAnsi" w:hAnsiTheme="majorHAnsi"/>
          <w:sz w:val="18"/>
          <w:szCs w:val="18"/>
        </w:rPr>
        <w:t xml:space="preserve"> </w:t>
      </w:r>
      <w:proofErr w:type="spellStart"/>
      <w:r w:rsidRPr="00B56F7B">
        <w:rPr>
          <w:rFonts w:asciiTheme="majorHAnsi" w:hAnsiTheme="majorHAnsi"/>
          <w:sz w:val="18"/>
          <w:szCs w:val="18"/>
        </w:rPr>
        <w:t>Gaonkar</w:t>
      </w:r>
      <w:proofErr w:type="spellEnd"/>
    </w:p>
    <w:p w:rsidR="00085117" w:rsidRPr="00DC3D7D" w:rsidRDefault="00085117" w:rsidP="00DC3D7D">
      <w:pPr>
        <w:spacing w:after="0" w:line="360" w:lineRule="auto"/>
        <w:jc w:val="both"/>
        <w:rPr>
          <w:rFonts w:ascii="Times New Roman" w:hAnsi="Times New Roman" w:cs="Times New Roman"/>
          <w:sz w:val="20"/>
          <w:szCs w:val="20"/>
        </w:rPr>
      </w:pPr>
    </w:p>
    <w:p w:rsidR="00DC3D7D" w:rsidRPr="00F830CC" w:rsidRDefault="00F64F6B" w:rsidP="00DC3D7D">
      <w:pPr>
        <w:autoSpaceDE w:val="0"/>
        <w:autoSpaceDN w:val="0"/>
        <w:adjustRightInd w:val="0"/>
        <w:spacing w:after="0" w:line="360" w:lineRule="auto"/>
        <w:jc w:val="both"/>
        <w:rPr>
          <w:rFonts w:ascii="Times New Roman" w:hAnsi="Times New Roman" w:cs="Times New Roman"/>
          <w:b/>
          <w:sz w:val="18"/>
          <w:szCs w:val="18"/>
        </w:rPr>
      </w:pPr>
      <w:r w:rsidRPr="00F64F6B">
        <w:rPr>
          <w:noProof/>
        </w:rPr>
        <w:pict>
          <v:shape id="_x0000_s1026" type="#_x0000_t202" style="position:absolute;left:0;text-align:left;margin-left:0;margin-top:0;width:2in;height:2in;z-index:251660288;mso-wrap-style:none">
            <v:textbox style="mso-fit-shape-to-text:t">
              <w:txbxContent>
                <w:p w:rsidR="00B56F7B" w:rsidRPr="00DC3D7D" w:rsidRDefault="00B56F7B" w:rsidP="00DC3D7D">
                  <w:pPr>
                    <w:spacing w:after="0" w:line="360" w:lineRule="auto"/>
                    <w:jc w:val="both"/>
                    <w:rPr>
                      <w:rFonts w:ascii="Times New Roman" w:hAnsi="Times New Roman" w:cs="Times New Roman"/>
                      <w:sz w:val="20"/>
                      <w:szCs w:val="20"/>
                    </w:rPr>
                  </w:pPr>
                  <w:r w:rsidRPr="00DC3D7D">
                    <w:rPr>
                      <w:rFonts w:ascii="Times New Roman" w:hAnsi="Times New Roman" w:cs="Times New Roman"/>
                      <w:b/>
                      <w:sz w:val="20"/>
                      <w:szCs w:val="20"/>
                    </w:rPr>
                    <w:t>Abstract</w:t>
                  </w:r>
                </w:p>
                <w:p w:rsidR="00B56F7B" w:rsidRPr="003D7180" w:rsidRDefault="00B56F7B" w:rsidP="003D7180">
                  <w:pPr>
                    <w:spacing w:after="0" w:line="360" w:lineRule="auto"/>
                    <w:jc w:val="both"/>
                    <w:rPr>
                      <w:rFonts w:ascii="Times New Roman" w:hAnsi="Times New Roman" w:cs="Times New Roman"/>
                      <w:sz w:val="18"/>
                      <w:szCs w:val="18"/>
                    </w:rPr>
                  </w:pPr>
                  <w:r w:rsidRPr="00F830CC">
                    <w:rPr>
                      <w:rFonts w:ascii="Times New Roman" w:hAnsi="Times New Roman" w:cs="Times New Roman"/>
                      <w:sz w:val="18"/>
                      <w:szCs w:val="18"/>
                    </w:rPr>
                    <w:t>Periodontal disease, a known silent disease which seldom causes pain only when the disease has progressed in which advanced treatment approach is a must. To safeguard from periodontal disease there is a need for practical supplementary tests to diagnose it in the dental office.</w:t>
                  </w:r>
                  <w:r w:rsidRPr="00F830CC">
                    <w:rPr>
                      <w:rFonts w:ascii="Times New Roman" w:eastAsia="MinionPro-Regular" w:hAnsi="Times New Roman" w:cs="Times New Roman"/>
                      <w:sz w:val="18"/>
                      <w:szCs w:val="18"/>
                    </w:rPr>
                    <w:t xml:space="preserve"> It includes intraoral observation of gingival inflammation, periodontal probing depth, loss of clinical attachment, radiographic bone loss, and signs and symptoms of active disease including ulceration and suppuration. Diagnosis of a disease and selecting an appropriate treatment should ideally rely on the knowledge that disease is in fact active and progressing. A common dilemma faced by dental practitioners is the differentiation between active periodontitis and quiescent disease that is superimposed on an already reduced periodontium.</w:t>
                  </w:r>
                </w:p>
              </w:txbxContent>
            </v:textbox>
            <w10:wrap type="square"/>
          </v:shape>
        </w:pict>
      </w:r>
    </w:p>
    <w:p w:rsidR="00CC0DC8" w:rsidRPr="00DC3D7D" w:rsidRDefault="00085117" w:rsidP="00DC3D7D">
      <w:pPr>
        <w:autoSpaceDE w:val="0"/>
        <w:autoSpaceDN w:val="0"/>
        <w:adjustRightInd w:val="0"/>
        <w:spacing w:after="0" w:line="360" w:lineRule="auto"/>
        <w:jc w:val="both"/>
        <w:rPr>
          <w:rFonts w:ascii="Times New Roman" w:hAnsi="Times New Roman" w:cs="Times New Roman"/>
          <w:b/>
          <w:sz w:val="20"/>
          <w:szCs w:val="20"/>
        </w:rPr>
      </w:pPr>
      <w:r w:rsidRPr="00DC3D7D">
        <w:rPr>
          <w:rFonts w:ascii="Times New Roman" w:hAnsi="Times New Roman" w:cs="Times New Roman"/>
          <w:b/>
          <w:sz w:val="20"/>
          <w:szCs w:val="20"/>
        </w:rPr>
        <w:t>Introduction</w:t>
      </w:r>
    </w:p>
    <w:p w:rsidR="00085117" w:rsidRPr="00DC3D7D" w:rsidRDefault="007E2584" w:rsidP="00DC3D7D">
      <w:p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hAnsi="Times New Roman" w:cs="Times New Roman"/>
          <w:sz w:val="20"/>
          <w:szCs w:val="20"/>
        </w:rPr>
        <w:t>To safeguard from periodontal disease</w:t>
      </w:r>
      <w:r w:rsidR="00356CA5" w:rsidRPr="00DC3D7D">
        <w:rPr>
          <w:rFonts w:ascii="Times New Roman" w:hAnsi="Times New Roman" w:cs="Times New Roman"/>
          <w:sz w:val="20"/>
          <w:szCs w:val="20"/>
        </w:rPr>
        <w:t xml:space="preserve"> there</w:t>
      </w:r>
      <w:r w:rsidR="004B3323" w:rsidRPr="00DC3D7D">
        <w:rPr>
          <w:rFonts w:ascii="Times New Roman" w:hAnsi="Times New Roman" w:cs="Times New Roman"/>
          <w:sz w:val="20"/>
          <w:szCs w:val="20"/>
        </w:rPr>
        <w:t xml:space="preserve"> i</w:t>
      </w:r>
      <w:r w:rsidR="00356CA5" w:rsidRPr="00DC3D7D">
        <w:rPr>
          <w:rFonts w:ascii="Times New Roman" w:hAnsi="Times New Roman" w:cs="Times New Roman"/>
          <w:sz w:val="20"/>
          <w:szCs w:val="20"/>
        </w:rPr>
        <w:t xml:space="preserve">s a need for </w:t>
      </w:r>
      <w:r w:rsidR="00085117" w:rsidRPr="00DC3D7D">
        <w:rPr>
          <w:rFonts w:ascii="Times New Roman" w:hAnsi="Times New Roman" w:cs="Times New Roman"/>
          <w:sz w:val="20"/>
          <w:szCs w:val="20"/>
        </w:rPr>
        <w:t>practic</w:t>
      </w:r>
      <w:r w:rsidR="00356CA5" w:rsidRPr="00DC3D7D">
        <w:rPr>
          <w:rFonts w:ascii="Times New Roman" w:hAnsi="Times New Roman" w:cs="Times New Roman"/>
          <w:sz w:val="20"/>
          <w:szCs w:val="20"/>
        </w:rPr>
        <w:t>al supplementary tests</w:t>
      </w:r>
      <w:r w:rsidR="00085117" w:rsidRPr="00DC3D7D">
        <w:rPr>
          <w:rFonts w:ascii="Times New Roman" w:hAnsi="Times New Roman" w:cs="Times New Roman"/>
          <w:sz w:val="20"/>
          <w:szCs w:val="20"/>
        </w:rPr>
        <w:t xml:space="preserve"> </w:t>
      </w:r>
      <w:r w:rsidRPr="00DC3D7D">
        <w:rPr>
          <w:rFonts w:ascii="Times New Roman" w:hAnsi="Times New Roman" w:cs="Times New Roman"/>
          <w:sz w:val="20"/>
          <w:szCs w:val="20"/>
        </w:rPr>
        <w:t xml:space="preserve">to diagnose it </w:t>
      </w:r>
      <w:r w:rsidR="00085117" w:rsidRPr="00DC3D7D">
        <w:rPr>
          <w:rFonts w:ascii="Times New Roman" w:hAnsi="Times New Roman" w:cs="Times New Roman"/>
          <w:sz w:val="20"/>
          <w:szCs w:val="20"/>
        </w:rPr>
        <w:t>in the dental office</w:t>
      </w:r>
      <w:r w:rsidR="00356CA5" w:rsidRPr="00DC3D7D">
        <w:rPr>
          <w:rFonts w:ascii="Times New Roman" w:hAnsi="Times New Roman" w:cs="Times New Roman"/>
          <w:sz w:val="20"/>
          <w:szCs w:val="20"/>
        </w:rPr>
        <w:t>.</w:t>
      </w:r>
      <w:r w:rsidR="004B3323" w:rsidRPr="00DC3D7D">
        <w:rPr>
          <w:rFonts w:ascii="Times New Roman" w:hAnsi="Times New Roman" w:cs="Times New Roman"/>
          <w:sz w:val="20"/>
          <w:szCs w:val="20"/>
        </w:rPr>
        <w:t xml:space="preserve"> A</w:t>
      </w:r>
      <w:r w:rsidR="004B3323" w:rsidRPr="00DC3D7D">
        <w:rPr>
          <w:rFonts w:ascii="Times New Roman" w:eastAsia="MinionPro-Regular" w:hAnsi="Times New Roman" w:cs="Times New Roman"/>
          <w:sz w:val="20"/>
          <w:szCs w:val="20"/>
        </w:rPr>
        <w:t>lthough</w:t>
      </w:r>
      <w:r w:rsidRPr="00DC3D7D">
        <w:rPr>
          <w:rFonts w:ascii="Times New Roman" w:eastAsia="MinionPro-Regular" w:hAnsi="Times New Roman" w:cs="Times New Roman"/>
          <w:sz w:val="20"/>
          <w:szCs w:val="20"/>
        </w:rPr>
        <w:t>,</w:t>
      </w:r>
      <w:r w:rsidR="004B3323" w:rsidRPr="00DC3D7D">
        <w:rPr>
          <w:rFonts w:ascii="Times New Roman" w:eastAsia="MinionPro-Regular" w:hAnsi="Times New Roman" w:cs="Times New Roman"/>
          <w:sz w:val="20"/>
          <w:szCs w:val="20"/>
        </w:rPr>
        <w:t xml:space="preserve"> periodontal disease is largely a host-innate immune response to bacterial </w:t>
      </w:r>
      <w:r w:rsidR="00356CA5" w:rsidRPr="00DC3D7D">
        <w:rPr>
          <w:rFonts w:ascii="Times New Roman" w:eastAsia="MinionPro-Regular" w:hAnsi="Times New Roman" w:cs="Times New Roman"/>
          <w:sz w:val="20"/>
          <w:szCs w:val="20"/>
        </w:rPr>
        <w:t xml:space="preserve">infection its </w:t>
      </w:r>
      <w:r w:rsidR="004B3323" w:rsidRPr="00DC3D7D">
        <w:rPr>
          <w:rFonts w:ascii="Times New Roman" w:eastAsia="MinionPro-Regular" w:hAnsi="Times New Roman" w:cs="Times New Roman"/>
          <w:sz w:val="20"/>
          <w:szCs w:val="20"/>
        </w:rPr>
        <w:t xml:space="preserve">diagnosis in the average private dental practice is currently limited to traditional </w:t>
      </w:r>
      <w:r w:rsidR="00356CA5" w:rsidRPr="00DC3D7D">
        <w:rPr>
          <w:rFonts w:ascii="Times New Roman" w:eastAsia="MinionPro-Regular" w:hAnsi="Times New Roman" w:cs="Times New Roman"/>
          <w:sz w:val="20"/>
          <w:szCs w:val="20"/>
        </w:rPr>
        <w:t>assessment</w:t>
      </w:r>
      <w:r w:rsidR="004B3323" w:rsidRPr="00DC3D7D">
        <w:rPr>
          <w:rFonts w:ascii="Times New Roman" w:eastAsia="MinionPro-Regular" w:hAnsi="Times New Roman" w:cs="Times New Roman"/>
          <w:sz w:val="20"/>
          <w:szCs w:val="20"/>
        </w:rPr>
        <w:t>. This evaluation includes intraoral observation of gingival inflammation, periodontal probing depth, loss of clinical attachment, radiographic bone loss, and signs and symptoms of active disease including ulceration and suppuration.</w:t>
      </w:r>
      <w:r w:rsidR="006D52C2" w:rsidRPr="00DC3D7D">
        <w:rPr>
          <w:rFonts w:ascii="Times New Roman" w:eastAsia="MinionPro-Regular" w:hAnsi="Times New Roman" w:cs="Times New Roman"/>
          <w:sz w:val="20"/>
          <w:szCs w:val="20"/>
          <w:vertAlign w:val="superscript"/>
        </w:rPr>
        <w:t>1</w:t>
      </w:r>
      <w:r w:rsidR="006D52C2" w:rsidRPr="00DC3D7D">
        <w:rPr>
          <w:rFonts w:ascii="Times New Roman" w:eastAsia="MinionPro-Regular" w:hAnsi="Times New Roman" w:cs="Times New Roman"/>
          <w:sz w:val="20"/>
          <w:szCs w:val="20"/>
        </w:rPr>
        <w:t xml:space="preserve"> </w:t>
      </w:r>
      <w:r w:rsidR="00E06170" w:rsidRPr="00DC3D7D">
        <w:rPr>
          <w:rFonts w:ascii="Times New Roman" w:eastAsia="MinionPro-Regular" w:hAnsi="Times New Roman" w:cs="Times New Roman"/>
          <w:sz w:val="20"/>
          <w:szCs w:val="20"/>
        </w:rPr>
        <w:t>Currently, determining the severity of chronic periodontitis, as classified by the World workshop of Periodontology 2017</w:t>
      </w:r>
      <w:r w:rsidR="006D52C2" w:rsidRPr="00DC3D7D">
        <w:rPr>
          <w:rFonts w:ascii="Times New Roman" w:eastAsia="MinionPro-Regular" w:hAnsi="Times New Roman" w:cs="Times New Roman"/>
          <w:sz w:val="20"/>
          <w:szCs w:val="20"/>
        </w:rPr>
        <w:t xml:space="preserve"> </w:t>
      </w:r>
      <w:r w:rsidR="006D52C2" w:rsidRPr="00DC3D7D">
        <w:rPr>
          <w:rFonts w:ascii="Times New Roman" w:eastAsia="MinionPro-Regular" w:hAnsi="Times New Roman" w:cs="Times New Roman"/>
          <w:sz w:val="20"/>
          <w:szCs w:val="20"/>
          <w:vertAlign w:val="superscript"/>
        </w:rPr>
        <w:t>2</w:t>
      </w:r>
      <w:r w:rsidR="00E06170" w:rsidRPr="00DC3D7D">
        <w:rPr>
          <w:rFonts w:ascii="Times New Roman" w:eastAsia="MinionPro-Regular" w:hAnsi="Times New Roman" w:cs="Times New Roman"/>
          <w:sz w:val="20"/>
          <w:szCs w:val="20"/>
        </w:rPr>
        <w:t xml:space="preserve"> is based on loss of</w:t>
      </w:r>
      <w:r w:rsidR="00E06170" w:rsidRPr="00DC3D7D">
        <w:rPr>
          <w:rFonts w:ascii="Times New Roman" w:hAnsi="Times New Roman" w:cs="Times New Roman"/>
          <w:color w:val="F79646" w:themeColor="accent6"/>
          <w:sz w:val="20"/>
          <w:szCs w:val="20"/>
        </w:rPr>
        <w:t xml:space="preserve"> </w:t>
      </w:r>
      <w:r w:rsidR="00E06170" w:rsidRPr="00DC3D7D">
        <w:rPr>
          <w:rFonts w:ascii="Times New Roman" w:eastAsia="MinionPro-Regular" w:hAnsi="Times New Roman" w:cs="Times New Roman"/>
          <w:sz w:val="20"/>
          <w:szCs w:val="20"/>
        </w:rPr>
        <w:t>clinical attachment as measured by a periodontal</w:t>
      </w:r>
      <w:r w:rsidR="00E06170" w:rsidRPr="00DC3D7D">
        <w:rPr>
          <w:rFonts w:ascii="Times New Roman" w:hAnsi="Times New Roman" w:cs="Times New Roman"/>
          <w:color w:val="F79646" w:themeColor="accent6"/>
          <w:sz w:val="20"/>
          <w:szCs w:val="20"/>
        </w:rPr>
        <w:t xml:space="preserve"> </w:t>
      </w:r>
      <w:r w:rsidR="00E06170" w:rsidRPr="00DC3D7D">
        <w:rPr>
          <w:rFonts w:ascii="Times New Roman" w:eastAsia="MinionPro-Regular" w:hAnsi="Times New Roman" w:cs="Times New Roman"/>
          <w:sz w:val="20"/>
          <w:szCs w:val="20"/>
        </w:rPr>
        <w:t>probe and radiographic bone loss. However, both these methods are unable to diagnose future periodontal disease progression.</w:t>
      </w:r>
    </w:p>
    <w:p w:rsidR="00E06170" w:rsidRPr="00DC3D7D" w:rsidRDefault="00E06170" w:rsidP="00DC3D7D">
      <w:p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Diagnosis of a disease and selecting an appropriate treatment should ideally rely on the knowledge that disease is in fact active and progressing. A common dilemma faced by dental practitioners is the differentiation between active periodontitis and quiescent disease that is superimposed on an already reduced periodontium.</w:t>
      </w:r>
      <w:r w:rsidR="00CC0DC8" w:rsidRPr="00DC3D7D">
        <w:rPr>
          <w:rFonts w:ascii="Times New Roman" w:eastAsia="MinionPro-Regular" w:hAnsi="Times New Roman" w:cs="Times New Roman"/>
          <w:sz w:val="20"/>
          <w:szCs w:val="20"/>
        </w:rPr>
        <w:t xml:space="preserve"> </w:t>
      </w:r>
    </w:p>
    <w:p w:rsidR="002064D7" w:rsidRPr="00DC3D7D" w:rsidRDefault="002064D7"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Need for newer methods</w:t>
      </w:r>
    </w:p>
    <w:p w:rsidR="00CC0DC8" w:rsidRPr="00DC3D7D" w:rsidRDefault="002064D7" w:rsidP="00DC3D7D">
      <w:p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hAnsi="Times New Roman" w:cs="Times New Roman"/>
          <w:sz w:val="20"/>
          <w:szCs w:val="20"/>
        </w:rPr>
        <w:t xml:space="preserve"> </w:t>
      </w:r>
      <w:r w:rsidRPr="00DC3D7D">
        <w:rPr>
          <w:rFonts w:ascii="Times New Roman" w:hAnsi="Times New Roman" w:cs="Times New Roman"/>
          <w:color w:val="000000"/>
          <w:sz w:val="20"/>
          <w:szCs w:val="20"/>
        </w:rPr>
        <w:t xml:space="preserve">The principles of these new diagnostic tests largely rely on the detection of the markers of disease activity. The term "markers of disease" basically consists of three separate categories; (1) indicators of current disease </w:t>
      </w:r>
      <w:r w:rsidRPr="00DC3D7D">
        <w:rPr>
          <w:rFonts w:ascii="Times New Roman" w:hAnsi="Times New Roman" w:cs="Times New Roman"/>
          <w:color w:val="000000"/>
          <w:sz w:val="20"/>
          <w:szCs w:val="20"/>
        </w:rPr>
        <w:lastRenderedPageBreak/>
        <w:t>activity; (2) predictors of future disease progression; (3) predictors of initiation of future disease</w:t>
      </w:r>
      <w:r w:rsidR="006D52C2" w:rsidRPr="00DC3D7D">
        <w:rPr>
          <w:rFonts w:ascii="Times New Roman" w:hAnsi="Times New Roman" w:cs="Times New Roman"/>
          <w:color w:val="000000"/>
          <w:sz w:val="20"/>
          <w:szCs w:val="20"/>
        </w:rPr>
        <w:t xml:space="preserve"> at a currently healthy site.</w:t>
      </w:r>
      <w:r w:rsidR="006D52C2" w:rsidRPr="00DC3D7D">
        <w:rPr>
          <w:rFonts w:ascii="Times New Roman" w:hAnsi="Times New Roman" w:cs="Times New Roman"/>
          <w:color w:val="000000"/>
          <w:sz w:val="20"/>
          <w:szCs w:val="20"/>
          <w:vertAlign w:val="superscript"/>
        </w:rPr>
        <w:t>3</w:t>
      </w:r>
    </w:p>
    <w:p w:rsidR="002064D7" w:rsidRPr="00DC3D7D" w:rsidRDefault="002064D7" w:rsidP="00DC3D7D">
      <w:p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hAnsi="Times New Roman" w:cs="Times New Roman"/>
          <w:color w:val="000000"/>
          <w:sz w:val="20"/>
          <w:szCs w:val="20"/>
        </w:rPr>
        <w:t>Biomarkers are quantifiable and measurable biologic parameters that serve as indicator for health and ph</w:t>
      </w:r>
      <w:r w:rsidR="006D52C2" w:rsidRPr="00DC3D7D">
        <w:rPr>
          <w:rFonts w:ascii="Times New Roman" w:hAnsi="Times New Roman" w:cs="Times New Roman"/>
          <w:color w:val="000000"/>
          <w:sz w:val="20"/>
          <w:szCs w:val="20"/>
        </w:rPr>
        <w:t>ysiology-related assessments</w:t>
      </w:r>
      <w:r w:rsidR="006D52C2" w:rsidRPr="00DC3D7D">
        <w:rPr>
          <w:rFonts w:ascii="Times New Roman" w:hAnsi="Times New Roman" w:cs="Times New Roman"/>
          <w:color w:val="000000"/>
          <w:sz w:val="20"/>
          <w:szCs w:val="20"/>
          <w:vertAlign w:val="superscript"/>
        </w:rPr>
        <w:t>4</w:t>
      </w:r>
      <w:r w:rsidRPr="00DC3D7D">
        <w:rPr>
          <w:rFonts w:ascii="Times New Roman" w:hAnsi="Times New Roman" w:cs="Times New Roman"/>
          <w:color w:val="000000"/>
          <w:sz w:val="20"/>
          <w:szCs w:val="20"/>
        </w:rPr>
        <w:t>. The biomarkers provide “signature” of the health state; they are found in the biological fluids such as blood, u</w:t>
      </w:r>
      <w:r w:rsidR="006D52C2" w:rsidRPr="00DC3D7D">
        <w:rPr>
          <w:rFonts w:ascii="Times New Roman" w:hAnsi="Times New Roman" w:cs="Times New Roman"/>
          <w:color w:val="000000"/>
          <w:sz w:val="20"/>
          <w:szCs w:val="20"/>
        </w:rPr>
        <w:t xml:space="preserve">rine and more recently saliva </w:t>
      </w:r>
      <w:r w:rsidR="006D52C2" w:rsidRPr="00DC3D7D">
        <w:rPr>
          <w:rFonts w:ascii="Times New Roman" w:hAnsi="Times New Roman" w:cs="Times New Roman"/>
          <w:color w:val="000000"/>
          <w:sz w:val="20"/>
          <w:szCs w:val="20"/>
          <w:vertAlign w:val="superscript"/>
        </w:rPr>
        <w:t>5</w:t>
      </w:r>
      <w:r w:rsidRPr="00DC3D7D">
        <w:rPr>
          <w:rFonts w:ascii="Times New Roman" w:hAnsi="Times New Roman" w:cs="Times New Roman"/>
          <w:color w:val="000000"/>
          <w:sz w:val="20"/>
          <w:szCs w:val="20"/>
        </w:rPr>
        <w:t xml:space="preserve">. It is rightly said that oral fluid is the mirror of periodontal health and it serves as medium to provide clinically relevant information since it contains biomarkers specific for periodontal diseases. Some of the oral fluid biomarkers like proteins of host origin (e.g., enzymes and </w:t>
      </w:r>
      <w:r w:rsidR="00D117B7" w:rsidRPr="00DC3D7D">
        <w:rPr>
          <w:rFonts w:ascii="Times New Roman" w:hAnsi="Times New Roman" w:cs="Times New Roman"/>
          <w:color w:val="000000"/>
          <w:sz w:val="20"/>
          <w:szCs w:val="20"/>
        </w:rPr>
        <w:t>immunoglobulin’s</w:t>
      </w:r>
      <w:r w:rsidRPr="00DC3D7D">
        <w:rPr>
          <w:rFonts w:ascii="Times New Roman" w:hAnsi="Times New Roman" w:cs="Times New Roman"/>
          <w:color w:val="000000"/>
          <w:sz w:val="20"/>
          <w:szCs w:val="20"/>
        </w:rPr>
        <w:t>), host cells (e.g., PMNs), bacteria as well as bacterial products, ions, hormones and volatile compounds have been stud</w:t>
      </w:r>
      <w:r w:rsidR="006D52C2" w:rsidRPr="00DC3D7D">
        <w:rPr>
          <w:rFonts w:ascii="Times New Roman" w:hAnsi="Times New Roman" w:cs="Times New Roman"/>
          <w:color w:val="000000"/>
          <w:sz w:val="20"/>
          <w:szCs w:val="20"/>
        </w:rPr>
        <w:t xml:space="preserve">ied for periodontal diagnosis </w:t>
      </w:r>
      <w:r w:rsidR="006D52C2" w:rsidRPr="00DC3D7D">
        <w:rPr>
          <w:rFonts w:ascii="Times New Roman" w:hAnsi="Times New Roman" w:cs="Times New Roman"/>
          <w:color w:val="000000"/>
          <w:sz w:val="20"/>
          <w:szCs w:val="20"/>
          <w:vertAlign w:val="superscript"/>
        </w:rPr>
        <w:t>6</w:t>
      </w:r>
      <w:r w:rsidR="006D52C2" w:rsidRPr="00DC3D7D">
        <w:rPr>
          <w:rFonts w:ascii="Times New Roman" w:hAnsi="Times New Roman" w:cs="Times New Roman"/>
          <w:color w:val="000000"/>
          <w:sz w:val="20"/>
          <w:szCs w:val="20"/>
        </w:rPr>
        <w:t>.</w:t>
      </w:r>
    </w:p>
    <w:p w:rsidR="009B64DE" w:rsidRPr="00DC3D7D" w:rsidRDefault="004617E8"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Traditional methods of periodontal diagnosis</w:t>
      </w:r>
      <w:r w:rsidR="009B64DE" w:rsidRPr="00DC3D7D">
        <w:rPr>
          <w:rFonts w:ascii="Times New Roman" w:eastAsia="MinionPro-Regular" w:hAnsi="Times New Roman" w:cs="Times New Roman"/>
          <w:b/>
          <w:sz w:val="20"/>
          <w:szCs w:val="20"/>
        </w:rPr>
        <w:t xml:space="preserve"> </w:t>
      </w:r>
      <w:r w:rsidR="009B64DE" w:rsidRPr="00DC3D7D">
        <w:rPr>
          <w:rFonts w:ascii="Times New Roman" w:eastAsia="MinionPro-Regular" w:hAnsi="Times New Roman" w:cs="Times New Roman"/>
          <w:sz w:val="20"/>
          <w:szCs w:val="20"/>
        </w:rPr>
        <w:t>(figure 2)</w:t>
      </w:r>
    </w:p>
    <w:p w:rsidR="009B64DE" w:rsidRPr="00DC3D7D" w:rsidRDefault="009B64DE" w:rsidP="00DC3D7D">
      <w:pPr>
        <w:pStyle w:val="ListParagraph"/>
        <w:numPr>
          <w:ilvl w:val="0"/>
          <w:numId w:val="12"/>
        </w:num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Periodontal probing</w:t>
      </w:r>
    </w:p>
    <w:p w:rsidR="009B64DE" w:rsidRPr="00DC3D7D" w:rsidRDefault="009B64DE" w:rsidP="00DC3D7D">
      <w:pPr>
        <w:pStyle w:val="ListParagraph"/>
        <w:numPr>
          <w:ilvl w:val="0"/>
          <w:numId w:val="12"/>
        </w:num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Radiographic examination</w:t>
      </w:r>
    </w:p>
    <w:p w:rsidR="0004369F" w:rsidRPr="00DC3D7D" w:rsidRDefault="0004369F"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Sources used for sample collection</w:t>
      </w:r>
    </w:p>
    <w:p w:rsidR="00A23CA9" w:rsidRPr="00DC3D7D" w:rsidRDefault="00A23CA9"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Saliva</w:t>
      </w:r>
    </w:p>
    <w:p w:rsidR="0004369F" w:rsidRPr="00DC3D7D" w:rsidRDefault="0004369F" w:rsidP="00DC3D7D">
      <w:pPr>
        <w:autoSpaceDE w:val="0"/>
        <w:autoSpaceDN w:val="0"/>
        <w:adjustRightInd w:val="0"/>
        <w:spacing w:after="0" w:line="360" w:lineRule="auto"/>
        <w:jc w:val="both"/>
        <w:rPr>
          <w:rStyle w:val="A5"/>
          <w:rFonts w:ascii="Times New Roman" w:hAnsi="Times New Roman" w:cs="Times New Roman"/>
          <w:sz w:val="20"/>
          <w:szCs w:val="20"/>
        </w:rPr>
      </w:pPr>
      <w:r w:rsidRPr="00DC3D7D">
        <w:rPr>
          <w:rFonts w:ascii="Times New Roman" w:hAnsi="Times New Roman" w:cs="Times New Roman"/>
          <w:color w:val="000000"/>
          <w:sz w:val="20"/>
          <w:szCs w:val="20"/>
        </w:rPr>
        <w:t xml:space="preserve">Saliva is a </w:t>
      </w:r>
      <w:proofErr w:type="spellStart"/>
      <w:r w:rsidRPr="00DC3D7D">
        <w:rPr>
          <w:rFonts w:ascii="Times New Roman" w:hAnsi="Times New Roman" w:cs="Times New Roman"/>
          <w:color w:val="000000"/>
          <w:sz w:val="20"/>
          <w:szCs w:val="20"/>
        </w:rPr>
        <w:t>biofluid</w:t>
      </w:r>
      <w:proofErr w:type="spellEnd"/>
      <w:r w:rsidRPr="00DC3D7D">
        <w:rPr>
          <w:rFonts w:ascii="Times New Roman" w:hAnsi="Times New Roman" w:cs="Times New Roman"/>
          <w:color w:val="000000"/>
          <w:sz w:val="20"/>
          <w:szCs w:val="20"/>
        </w:rPr>
        <w:t xml:space="preserve"> which is readily accessible and can be collected by totally non-invasive method.</w:t>
      </w:r>
      <w:r w:rsidRPr="00DC3D7D">
        <w:rPr>
          <w:rFonts w:ascii="Times New Roman" w:hAnsi="Times New Roman" w:cs="Times New Roman"/>
          <w:sz w:val="20"/>
          <w:szCs w:val="20"/>
        </w:rPr>
        <w:t xml:space="preserve"> </w:t>
      </w:r>
      <w:r w:rsidRPr="00DC3D7D">
        <w:rPr>
          <w:rStyle w:val="A5"/>
          <w:rFonts w:ascii="Times New Roman" w:hAnsi="Times New Roman" w:cs="Times New Roman"/>
          <w:sz w:val="20"/>
          <w:szCs w:val="20"/>
        </w:rPr>
        <w:t>Saliva offers many advantages as it is readily available, contains a rich array of diagnostic biomarker molecule, non-invasive method of sampling and ability to obtain rapid an</w:t>
      </w:r>
      <w:r w:rsidR="006D52C2" w:rsidRPr="00DC3D7D">
        <w:rPr>
          <w:rStyle w:val="A5"/>
          <w:rFonts w:ascii="Times New Roman" w:hAnsi="Times New Roman" w:cs="Times New Roman"/>
          <w:sz w:val="20"/>
          <w:szCs w:val="20"/>
        </w:rPr>
        <w:t>d reliable results</w:t>
      </w:r>
      <w:r w:rsidRPr="00DC3D7D">
        <w:rPr>
          <w:rStyle w:val="A5"/>
          <w:rFonts w:ascii="Times New Roman" w:hAnsi="Times New Roman" w:cs="Times New Roman"/>
          <w:sz w:val="20"/>
          <w:szCs w:val="20"/>
        </w:rPr>
        <w:t>. Saliva has also proved to be beneficial as compared to blood because it is easy to handle saliva as it does not clot and also chances of accidental transmission of infectious disease during its collection is less than bl</w:t>
      </w:r>
      <w:r w:rsidR="006921A6" w:rsidRPr="00DC3D7D">
        <w:rPr>
          <w:rStyle w:val="A5"/>
          <w:rFonts w:ascii="Times New Roman" w:hAnsi="Times New Roman" w:cs="Times New Roman"/>
          <w:sz w:val="20"/>
          <w:szCs w:val="20"/>
        </w:rPr>
        <w:t>ood samples</w:t>
      </w:r>
      <w:r w:rsidR="006921A6" w:rsidRPr="00DC3D7D">
        <w:rPr>
          <w:rStyle w:val="A5"/>
          <w:rFonts w:ascii="Times New Roman" w:hAnsi="Times New Roman" w:cs="Times New Roman"/>
          <w:sz w:val="20"/>
          <w:szCs w:val="20"/>
          <w:vertAlign w:val="superscript"/>
        </w:rPr>
        <w:t>7</w:t>
      </w:r>
      <w:r w:rsidR="006921A6" w:rsidRPr="00DC3D7D">
        <w:rPr>
          <w:rStyle w:val="A5"/>
          <w:rFonts w:ascii="Times New Roman" w:hAnsi="Times New Roman" w:cs="Times New Roman"/>
          <w:sz w:val="20"/>
          <w:szCs w:val="20"/>
        </w:rPr>
        <w:t>.</w:t>
      </w:r>
      <w:r w:rsidRPr="00DC3D7D">
        <w:rPr>
          <w:rStyle w:val="A5"/>
          <w:rFonts w:ascii="Times New Roman" w:hAnsi="Times New Roman" w:cs="Times New Roman"/>
          <w:sz w:val="20"/>
          <w:szCs w:val="20"/>
        </w:rPr>
        <w:t xml:space="preserve"> However, one of the major limitations of using saliva is that as compared to saliva and serum the informative analytes generally are present in lower amount therefore, assays </w:t>
      </w:r>
      <w:r w:rsidR="006921A6" w:rsidRPr="00DC3D7D">
        <w:rPr>
          <w:rStyle w:val="A5"/>
          <w:rFonts w:ascii="Times New Roman" w:hAnsi="Times New Roman" w:cs="Times New Roman"/>
          <w:sz w:val="20"/>
          <w:szCs w:val="20"/>
        </w:rPr>
        <w:t>need to be highly sensitive</w:t>
      </w:r>
      <w:r w:rsidR="006921A6" w:rsidRPr="00DC3D7D">
        <w:rPr>
          <w:rStyle w:val="A5"/>
          <w:rFonts w:ascii="Times New Roman" w:hAnsi="Times New Roman" w:cs="Times New Roman"/>
          <w:sz w:val="20"/>
          <w:szCs w:val="20"/>
          <w:vertAlign w:val="superscript"/>
        </w:rPr>
        <w:t>8</w:t>
      </w:r>
      <w:r w:rsidRPr="00DC3D7D">
        <w:rPr>
          <w:rStyle w:val="A5"/>
          <w:rFonts w:ascii="Times New Roman" w:hAnsi="Times New Roman" w:cs="Times New Roman"/>
          <w:sz w:val="20"/>
          <w:szCs w:val="20"/>
        </w:rPr>
        <w:t>. The origin of saliva determines its composition and is influenced by various environmental and psychological stimuli. Thus, qualitative analysis of saliva markers can be reliably achieved but to quantify these markers is the real problem. Apart from these, presence of mucins and cell debris makes saliva a challenging fluid to work with.</w:t>
      </w:r>
    </w:p>
    <w:p w:rsidR="0004369F" w:rsidRPr="00DC3D7D" w:rsidRDefault="0004369F" w:rsidP="00DC3D7D">
      <w:pPr>
        <w:autoSpaceDE w:val="0"/>
        <w:autoSpaceDN w:val="0"/>
        <w:adjustRightInd w:val="0"/>
        <w:spacing w:after="0" w:line="360" w:lineRule="auto"/>
        <w:jc w:val="both"/>
        <w:rPr>
          <w:rStyle w:val="A5"/>
          <w:rFonts w:ascii="Times New Roman" w:hAnsi="Times New Roman" w:cs="Times New Roman"/>
          <w:sz w:val="20"/>
          <w:szCs w:val="20"/>
        </w:rPr>
      </w:pPr>
    </w:p>
    <w:p w:rsidR="0004369F" w:rsidRPr="00DC3D7D" w:rsidRDefault="0004369F" w:rsidP="00DC3D7D">
      <w:pPr>
        <w:autoSpaceDE w:val="0"/>
        <w:autoSpaceDN w:val="0"/>
        <w:adjustRightInd w:val="0"/>
        <w:spacing w:after="0" w:line="360" w:lineRule="auto"/>
        <w:jc w:val="both"/>
        <w:rPr>
          <w:rFonts w:ascii="Times New Roman" w:eastAsia="MinionPro-Regular" w:hAnsi="Times New Roman" w:cs="Times New Roman"/>
          <w:sz w:val="20"/>
          <w:szCs w:val="20"/>
        </w:rPr>
      </w:pPr>
    </w:p>
    <w:tbl>
      <w:tblPr>
        <w:tblStyle w:val="TableGrid"/>
        <w:tblW w:w="0" w:type="auto"/>
        <w:tblLook w:val="04A0"/>
      </w:tblPr>
      <w:tblGrid>
        <w:gridCol w:w="3080"/>
        <w:gridCol w:w="3081"/>
        <w:gridCol w:w="3081"/>
      </w:tblGrid>
      <w:tr w:rsidR="00A23CA9" w:rsidRPr="00DC3D7D" w:rsidTr="00A23CA9">
        <w:trPr>
          <w:trHeight w:val="431"/>
        </w:trPr>
        <w:tc>
          <w:tcPr>
            <w:tcW w:w="9242" w:type="dxa"/>
            <w:gridSpan w:val="3"/>
            <w:vAlign w:val="center"/>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Biomarkers in saliva</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Markers of periodontal inflammation</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Markers of alveolar bone loss</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Collagen breakdown products</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Prostaglandin E2</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Alkaline phosphatase</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Aspartate aminotransferase</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sym w:font="Symbol" w:char="F062"/>
            </w:r>
            <w:r w:rsidRPr="00DC3D7D">
              <w:rPr>
                <w:rFonts w:ascii="Times New Roman" w:eastAsia="MinionPro-Regular" w:hAnsi="Times New Roman" w:cs="Times New Roman"/>
                <w:sz w:val="20"/>
                <w:szCs w:val="20"/>
              </w:rPr>
              <w:t xml:space="preserve"> - glucuronidase</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Osteoprotegerin</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Alanine aminotransferase</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IL- 1β</w:t>
            </w:r>
          </w:p>
        </w:tc>
        <w:tc>
          <w:tcPr>
            <w:tcW w:w="3081" w:type="dxa"/>
          </w:tcPr>
          <w:p w:rsidR="00A23CA9" w:rsidRPr="00DC3D7D" w:rsidRDefault="00D117B7"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Osteocalcin</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TIMPs</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IL- 6</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Collagen telopeptidase</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MMPs</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Tumor necrosis factor- </w:t>
            </w:r>
            <w:r w:rsidRPr="00DC3D7D">
              <w:rPr>
                <w:rFonts w:ascii="Times New Roman" w:eastAsia="MinionPro-Regular" w:hAnsi="Times New Roman" w:cs="Times New Roman"/>
                <w:sz w:val="20"/>
                <w:szCs w:val="20"/>
              </w:rPr>
              <w:sym w:font="Symbol" w:char="F061"/>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Pyridinoline cross- links of type 1 collagen</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sym w:font="Symbol" w:char="F061"/>
            </w:r>
            <w:r w:rsidRPr="00DC3D7D">
              <w:rPr>
                <w:rFonts w:ascii="Times New Roman" w:eastAsia="MinionPro-Regular" w:hAnsi="Times New Roman" w:cs="Times New Roman"/>
                <w:sz w:val="20"/>
                <w:szCs w:val="20"/>
              </w:rPr>
              <w:t>2- macroglobulin</w:t>
            </w:r>
          </w:p>
        </w:tc>
      </w:tr>
      <w:tr w:rsidR="00A23CA9" w:rsidRPr="00DC3D7D" w:rsidTr="00A23CA9">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Matrix Metalloproteinase (MMP- 8,9,13)</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RANKL</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p>
        </w:tc>
      </w:tr>
      <w:tr w:rsidR="00A23CA9" w:rsidRPr="00DC3D7D" w:rsidTr="00A23CA9">
        <w:trPr>
          <w:trHeight w:val="432"/>
        </w:trPr>
        <w:tc>
          <w:tcPr>
            <w:tcW w:w="3080"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Osteonectin</w:t>
            </w:r>
          </w:p>
        </w:tc>
        <w:tc>
          <w:tcPr>
            <w:tcW w:w="3081" w:type="dxa"/>
          </w:tcPr>
          <w:p w:rsidR="00A23CA9" w:rsidRPr="00DC3D7D" w:rsidRDefault="00A23CA9" w:rsidP="00DC3D7D">
            <w:pPr>
              <w:autoSpaceDE w:val="0"/>
              <w:autoSpaceDN w:val="0"/>
              <w:adjustRightInd w:val="0"/>
              <w:spacing w:line="360" w:lineRule="auto"/>
              <w:jc w:val="center"/>
              <w:rPr>
                <w:rFonts w:ascii="Times New Roman" w:eastAsia="MinionPro-Regular" w:hAnsi="Times New Roman" w:cs="Times New Roman"/>
                <w:sz w:val="20"/>
                <w:szCs w:val="20"/>
              </w:rPr>
            </w:pPr>
          </w:p>
        </w:tc>
      </w:tr>
    </w:tbl>
    <w:p w:rsidR="00A23CA9" w:rsidRPr="00DC3D7D" w:rsidRDefault="00A23CA9" w:rsidP="00DC3D7D">
      <w:pPr>
        <w:autoSpaceDE w:val="0"/>
        <w:autoSpaceDN w:val="0"/>
        <w:adjustRightInd w:val="0"/>
        <w:spacing w:after="0" w:line="360" w:lineRule="auto"/>
        <w:jc w:val="both"/>
        <w:rPr>
          <w:rFonts w:ascii="Times New Roman" w:eastAsia="MinionPro-Regular" w:hAnsi="Times New Roman" w:cs="Times New Roman"/>
          <w:sz w:val="20"/>
          <w:szCs w:val="20"/>
        </w:rPr>
      </w:pPr>
    </w:p>
    <w:p w:rsidR="00EB5E22" w:rsidRPr="00DC3D7D" w:rsidRDefault="00EB5E22"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lastRenderedPageBreak/>
        <w:t xml:space="preserve">Gingival </w:t>
      </w:r>
      <w:proofErr w:type="spellStart"/>
      <w:r w:rsidRPr="00DC3D7D">
        <w:rPr>
          <w:rFonts w:ascii="Times New Roman" w:eastAsia="MinionPro-Regular" w:hAnsi="Times New Roman" w:cs="Times New Roman"/>
          <w:b/>
          <w:sz w:val="20"/>
          <w:szCs w:val="20"/>
        </w:rPr>
        <w:t>crevicular</w:t>
      </w:r>
      <w:proofErr w:type="spellEnd"/>
      <w:r w:rsidRPr="00DC3D7D">
        <w:rPr>
          <w:rFonts w:ascii="Times New Roman" w:eastAsia="MinionPro-Regular" w:hAnsi="Times New Roman" w:cs="Times New Roman"/>
          <w:b/>
          <w:sz w:val="20"/>
          <w:szCs w:val="20"/>
        </w:rPr>
        <w:t xml:space="preserve"> fluid</w:t>
      </w:r>
    </w:p>
    <w:p w:rsidR="00EB5E22" w:rsidRPr="00DC3D7D" w:rsidRDefault="00EB5E22" w:rsidP="00DC3D7D">
      <w:pPr>
        <w:pStyle w:val="Pa6"/>
        <w:spacing w:line="360" w:lineRule="auto"/>
        <w:jc w:val="both"/>
        <w:rPr>
          <w:rFonts w:ascii="Times New Roman" w:hAnsi="Times New Roman" w:cs="Times New Roman"/>
          <w:color w:val="000000"/>
          <w:sz w:val="20"/>
          <w:szCs w:val="20"/>
        </w:rPr>
      </w:pPr>
      <w:r w:rsidRPr="00DC3D7D">
        <w:rPr>
          <w:rFonts w:ascii="Times New Roman" w:hAnsi="Times New Roman" w:cs="Times New Roman"/>
          <w:color w:val="000000"/>
          <w:sz w:val="20"/>
          <w:szCs w:val="20"/>
        </w:rPr>
        <w:t>GCF can be frequently used for biomarkers as it easily obtained from the oral cavity. Chapple I stated the advantages of using GCF: "The biomarkers found in GCF indicate the presence or absence of periodontal pathogens, gingival and periodontal inflammation, the host inflammatory-immune response to specific pathogenic species and host tissue destruction". The disadvantages of using GCF are that it requires multiple samples of individual tooth sites and extensive laboratory processing, thereby making it e</w:t>
      </w:r>
      <w:r w:rsidR="006921A6" w:rsidRPr="00DC3D7D">
        <w:rPr>
          <w:rFonts w:ascii="Times New Roman" w:hAnsi="Times New Roman" w:cs="Times New Roman"/>
          <w:color w:val="000000"/>
          <w:sz w:val="20"/>
          <w:szCs w:val="20"/>
        </w:rPr>
        <w:t>xpensive and time consuming</w:t>
      </w:r>
      <w:r w:rsidR="006921A6" w:rsidRPr="00DC3D7D">
        <w:rPr>
          <w:rFonts w:ascii="Times New Roman" w:hAnsi="Times New Roman" w:cs="Times New Roman"/>
          <w:color w:val="000000"/>
          <w:sz w:val="20"/>
          <w:szCs w:val="20"/>
          <w:vertAlign w:val="superscript"/>
        </w:rPr>
        <w:t>9</w:t>
      </w:r>
      <w:r w:rsidRPr="00DC3D7D">
        <w:rPr>
          <w:rFonts w:ascii="Times New Roman" w:hAnsi="Times New Roman" w:cs="Times New Roman"/>
          <w:color w:val="000000"/>
          <w:sz w:val="20"/>
          <w:szCs w:val="20"/>
        </w:rPr>
        <w:t>.</w:t>
      </w:r>
    </w:p>
    <w:p w:rsidR="004617E8" w:rsidRPr="00DC3D7D" w:rsidRDefault="00EB5E22" w:rsidP="00DC3D7D">
      <w:pPr>
        <w:autoSpaceDE w:val="0"/>
        <w:autoSpaceDN w:val="0"/>
        <w:adjustRightInd w:val="0"/>
        <w:spacing w:after="0" w:line="360" w:lineRule="auto"/>
        <w:jc w:val="both"/>
        <w:rPr>
          <w:rFonts w:ascii="Times New Roman" w:eastAsia="MinionPro-Regular" w:hAnsi="Times New Roman" w:cs="Times New Roman"/>
          <w:color w:val="31849B" w:themeColor="accent5" w:themeShade="BF"/>
          <w:sz w:val="20"/>
          <w:szCs w:val="20"/>
        </w:rPr>
      </w:pPr>
      <w:r w:rsidRPr="00DC3D7D">
        <w:rPr>
          <w:rFonts w:ascii="Times New Roman" w:hAnsi="Times New Roman" w:cs="Times New Roman"/>
          <w:color w:val="000000"/>
          <w:sz w:val="20"/>
          <w:szCs w:val="20"/>
        </w:rPr>
        <w:t>Although, GCF has several diagnostic advantages because of the appearance of inflammatory mediators and tissue-destructive molecules in it, the procedure of collection and analysis makes it difficult to be used as a chairside diagnostic medium [Table/Fig-4]. GCF collection is laborious and technically demanding requiring special equipment for calibrating and measuring fluid volumes. There is also a possibility of GCF being contaminated wi</w:t>
      </w:r>
      <w:r w:rsidR="006921A6" w:rsidRPr="00DC3D7D">
        <w:rPr>
          <w:rFonts w:ascii="Times New Roman" w:hAnsi="Times New Roman" w:cs="Times New Roman"/>
          <w:color w:val="000000"/>
          <w:sz w:val="20"/>
          <w:szCs w:val="20"/>
        </w:rPr>
        <w:t>th blood, saliva, or plaque</w:t>
      </w:r>
      <w:r w:rsidR="006921A6" w:rsidRPr="00DC3D7D">
        <w:rPr>
          <w:rFonts w:ascii="Times New Roman" w:hAnsi="Times New Roman" w:cs="Times New Roman"/>
          <w:color w:val="000000"/>
          <w:sz w:val="20"/>
          <w:szCs w:val="20"/>
          <w:vertAlign w:val="superscript"/>
        </w:rPr>
        <w:t>10</w:t>
      </w:r>
      <w:r w:rsidRPr="00DC3D7D">
        <w:rPr>
          <w:rFonts w:ascii="Times New Roman" w:hAnsi="Times New Roman" w:cs="Times New Roman"/>
          <w:color w:val="000000"/>
          <w:sz w:val="20"/>
          <w:szCs w:val="20"/>
        </w:rPr>
        <w:t xml:space="preserve">. </w:t>
      </w:r>
    </w:p>
    <w:p w:rsidR="00BB6E80" w:rsidRPr="00DC3D7D" w:rsidRDefault="00BB6E80" w:rsidP="00DC3D7D">
      <w:pPr>
        <w:autoSpaceDE w:val="0"/>
        <w:autoSpaceDN w:val="0"/>
        <w:adjustRightInd w:val="0"/>
        <w:spacing w:after="0" w:line="360" w:lineRule="auto"/>
        <w:ind w:firstLine="720"/>
        <w:jc w:val="both"/>
        <w:rPr>
          <w:rFonts w:ascii="Times New Roman" w:eastAsia="MinionPro-Regular" w:hAnsi="Times New Roman" w:cs="Times New Roman"/>
          <w:b/>
          <w:sz w:val="20"/>
          <w:szCs w:val="20"/>
        </w:rPr>
      </w:pPr>
    </w:p>
    <w:p w:rsidR="00B11F0C" w:rsidRPr="00DC3D7D" w:rsidRDefault="00BB6E80" w:rsidP="00DC3D7D">
      <w:pPr>
        <w:tabs>
          <w:tab w:val="center" w:pos="4513"/>
        </w:tabs>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B</w:t>
      </w:r>
      <w:r w:rsidR="00EB5E22" w:rsidRPr="00DC3D7D">
        <w:rPr>
          <w:rFonts w:ascii="Times New Roman" w:eastAsia="MinionPro-Regular" w:hAnsi="Times New Roman" w:cs="Times New Roman"/>
          <w:b/>
          <w:sz w:val="20"/>
          <w:szCs w:val="20"/>
        </w:rPr>
        <w:t>iomarkers</w:t>
      </w:r>
      <w:r w:rsidRPr="00DC3D7D">
        <w:rPr>
          <w:rFonts w:ascii="Times New Roman" w:eastAsia="MinionPro-Regular" w:hAnsi="Times New Roman" w:cs="Times New Roman"/>
          <w:b/>
          <w:sz w:val="20"/>
          <w:szCs w:val="20"/>
        </w:rPr>
        <w:t xml:space="preserve"> in gingiv</w:t>
      </w:r>
      <w:r w:rsidR="006D303C" w:rsidRPr="00DC3D7D">
        <w:rPr>
          <w:rFonts w:ascii="Times New Roman" w:eastAsia="MinionPro-Regular" w:hAnsi="Times New Roman" w:cs="Times New Roman"/>
          <w:b/>
          <w:sz w:val="20"/>
          <w:szCs w:val="20"/>
        </w:rPr>
        <w:t>al crevicular fluid</w:t>
      </w:r>
    </w:p>
    <w:p w:rsidR="004A28C2" w:rsidRPr="00DC3D7D" w:rsidRDefault="004A28C2" w:rsidP="00DC3D7D">
      <w:pPr>
        <w:autoSpaceDE w:val="0"/>
        <w:autoSpaceDN w:val="0"/>
        <w:adjustRightInd w:val="0"/>
        <w:spacing w:after="0" w:line="360" w:lineRule="auto"/>
        <w:jc w:val="both"/>
        <w:rPr>
          <w:rFonts w:ascii="Times New Roman" w:eastAsia="MinionPro-Regular" w:hAnsi="Times New Roman" w:cs="Times New Roman"/>
          <w:color w:val="31849B" w:themeColor="accent5" w:themeShade="BF"/>
          <w:sz w:val="20"/>
          <w:szCs w:val="20"/>
          <w:u w:val="single"/>
        </w:rPr>
      </w:pPr>
    </w:p>
    <w:tbl>
      <w:tblPr>
        <w:tblStyle w:val="TableGrid"/>
        <w:tblW w:w="9356" w:type="dxa"/>
        <w:tblInd w:w="-34" w:type="dxa"/>
        <w:tblLayout w:type="fixed"/>
        <w:tblLook w:val="04A0"/>
      </w:tblPr>
      <w:tblGrid>
        <w:gridCol w:w="1560"/>
        <w:gridCol w:w="1843"/>
        <w:gridCol w:w="1842"/>
        <w:gridCol w:w="1985"/>
        <w:gridCol w:w="2126"/>
      </w:tblGrid>
      <w:tr w:rsidR="00BB6E80" w:rsidRPr="00DC3D7D" w:rsidTr="00D75783">
        <w:tc>
          <w:tcPr>
            <w:tcW w:w="1560" w:type="dxa"/>
            <w:vAlign w:val="center"/>
          </w:tcPr>
          <w:p w:rsidR="00B11F0C" w:rsidRPr="00DC3D7D" w:rsidRDefault="00B11F0C"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Inflammatory and immune products</w:t>
            </w:r>
          </w:p>
        </w:tc>
        <w:tc>
          <w:tcPr>
            <w:tcW w:w="1843" w:type="dxa"/>
            <w:vAlign w:val="center"/>
          </w:tcPr>
          <w:p w:rsidR="00B11F0C" w:rsidRPr="00DC3D7D" w:rsidRDefault="00B11F0C"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Bacterial proteases</w:t>
            </w:r>
          </w:p>
        </w:tc>
        <w:tc>
          <w:tcPr>
            <w:tcW w:w="1842" w:type="dxa"/>
            <w:vAlign w:val="center"/>
          </w:tcPr>
          <w:p w:rsidR="00B11F0C" w:rsidRPr="00DC3D7D" w:rsidRDefault="00B11F0C"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Host derived enzymes</w:t>
            </w:r>
          </w:p>
        </w:tc>
        <w:tc>
          <w:tcPr>
            <w:tcW w:w="1985" w:type="dxa"/>
            <w:vAlign w:val="center"/>
          </w:tcPr>
          <w:p w:rsidR="00B11F0C" w:rsidRPr="00DC3D7D" w:rsidRDefault="00B11F0C"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Tissue breakdown products</w:t>
            </w:r>
          </w:p>
        </w:tc>
        <w:tc>
          <w:tcPr>
            <w:tcW w:w="2126" w:type="dxa"/>
            <w:vAlign w:val="center"/>
          </w:tcPr>
          <w:p w:rsidR="00B11F0C" w:rsidRPr="00DC3D7D" w:rsidRDefault="00B11F0C" w:rsidP="00DC3D7D">
            <w:pPr>
              <w:autoSpaceDE w:val="0"/>
              <w:autoSpaceDN w:val="0"/>
              <w:adjustRightInd w:val="0"/>
              <w:spacing w:line="360" w:lineRule="auto"/>
              <w:jc w:val="center"/>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Bone specific proteins</w:t>
            </w:r>
          </w:p>
        </w:tc>
      </w:tr>
      <w:tr w:rsidR="00BB6E80" w:rsidRPr="00DC3D7D" w:rsidTr="00D75783">
        <w:tc>
          <w:tcPr>
            <w:tcW w:w="1560"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Prostaglandin E2</w:t>
            </w:r>
          </w:p>
        </w:tc>
        <w:tc>
          <w:tcPr>
            <w:tcW w:w="1843"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Alkaline phosphatase</w:t>
            </w:r>
          </w:p>
        </w:tc>
        <w:tc>
          <w:tcPr>
            <w:tcW w:w="1842"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Alkaline phosphatase</w:t>
            </w:r>
          </w:p>
        </w:tc>
        <w:tc>
          <w:tcPr>
            <w:tcW w:w="1985"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Glycosaminoglycan </w:t>
            </w:r>
          </w:p>
        </w:tc>
        <w:tc>
          <w:tcPr>
            <w:tcW w:w="2126"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Pyridinium crosslink urine pyridinoline</w:t>
            </w:r>
          </w:p>
        </w:tc>
      </w:tr>
      <w:tr w:rsidR="00BB6E80" w:rsidRPr="00DC3D7D" w:rsidTr="00D75783">
        <w:tc>
          <w:tcPr>
            <w:tcW w:w="1560"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Cytokines </w:t>
            </w:r>
          </w:p>
        </w:tc>
        <w:tc>
          <w:tcPr>
            <w:tcW w:w="1843" w:type="dxa"/>
          </w:tcPr>
          <w:p w:rsidR="00B11F0C" w:rsidRPr="00DC3D7D" w:rsidRDefault="00D117B7"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Amino peptidases</w:t>
            </w:r>
          </w:p>
        </w:tc>
        <w:tc>
          <w:tcPr>
            <w:tcW w:w="1842"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sym w:font="Symbol" w:char="F062"/>
            </w:r>
            <w:r w:rsidRPr="00DC3D7D">
              <w:rPr>
                <w:rFonts w:ascii="Times New Roman" w:eastAsia="MinionPro-Regular" w:hAnsi="Times New Roman" w:cs="Times New Roman"/>
                <w:sz w:val="20"/>
                <w:szCs w:val="20"/>
              </w:rPr>
              <w:t xml:space="preserve"> - Glucuronidase</w:t>
            </w:r>
          </w:p>
        </w:tc>
        <w:tc>
          <w:tcPr>
            <w:tcW w:w="1985"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Hyaluronic acid</w:t>
            </w:r>
          </w:p>
        </w:tc>
        <w:tc>
          <w:tcPr>
            <w:tcW w:w="2126"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Pyridinium crosslink collagen peptide</w:t>
            </w:r>
          </w:p>
        </w:tc>
      </w:tr>
      <w:tr w:rsidR="00BB6E80" w:rsidRPr="00DC3D7D" w:rsidTr="00D75783">
        <w:tc>
          <w:tcPr>
            <w:tcW w:w="1560"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Antibacterial antibodies</w:t>
            </w:r>
          </w:p>
        </w:tc>
        <w:tc>
          <w:tcPr>
            <w:tcW w:w="1843" w:type="dxa"/>
          </w:tcPr>
          <w:p w:rsidR="00B11F0C" w:rsidRPr="00DC3D7D" w:rsidRDefault="004A28C2"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Chondroitin sulphatase</w:t>
            </w:r>
          </w:p>
        </w:tc>
        <w:tc>
          <w:tcPr>
            <w:tcW w:w="1842"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Elastase</w:t>
            </w:r>
          </w:p>
        </w:tc>
        <w:tc>
          <w:tcPr>
            <w:tcW w:w="1985"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Chondroitin- 4- sulfate</w:t>
            </w:r>
          </w:p>
        </w:tc>
        <w:tc>
          <w:tcPr>
            <w:tcW w:w="2126"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Tartrate resistant acid phosphatase</w:t>
            </w:r>
          </w:p>
        </w:tc>
      </w:tr>
      <w:tr w:rsidR="00BB6E80" w:rsidRPr="00DC3D7D" w:rsidTr="00D75783">
        <w:tc>
          <w:tcPr>
            <w:tcW w:w="1560"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Acute phase proteins</w:t>
            </w:r>
          </w:p>
        </w:tc>
        <w:tc>
          <w:tcPr>
            <w:tcW w:w="1843"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Collagenase</w:t>
            </w:r>
          </w:p>
        </w:tc>
        <w:tc>
          <w:tcPr>
            <w:tcW w:w="1842"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Cathepsins </w:t>
            </w:r>
          </w:p>
        </w:tc>
        <w:tc>
          <w:tcPr>
            <w:tcW w:w="1985"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Chondroitin- 6- sulfate</w:t>
            </w:r>
          </w:p>
        </w:tc>
        <w:tc>
          <w:tcPr>
            <w:tcW w:w="2126" w:type="dxa"/>
          </w:tcPr>
          <w:p w:rsidR="00B11F0C"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Hydroxyproline </w:t>
            </w: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Complement </w:t>
            </w:r>
          </w:p>
        </w:tc>
        <w:tc>
          <w:tcPr>
            <w:tcW w:w="1843"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Fibrinolysin</w:t>
            </w:r>
          </w:p>
        </w:tc>
        <w:tc>
          <w:tcPr>
            <w:tcW w:w="1842"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Serine protease </w:t>
            </w:r>
          </w:p>
        </w:tc>
        <w:tc>
          <w:tcPr>
            <w:tcW w:w="1985"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Dermatan sulfate</w:t>
            </w: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Galactosyl hydroxylysine</w:t>
            </w: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Vasoactive intestinal</w:t>
            </w:r>
          </w:p>
        </w:tc>
        <w:tc>
          <w:tcPr>
            <w:tcW w:w="1843"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Glucosidases</w:t>
            </w:r>
          </w:p>
        </w:tc>
        <w:tc>
          <w:tcPr>
            <w:tcW w:w="1842"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Nonspecific neutral</w:t>
            </w:r>
          </w:p>
        </w:tc>
        <w:tc>
          <w:tcPr>
            <w:tcW w:w="1985"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Hydroxyproline </w:t>
            </w: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Glycosaminoglycans </w:t>
            </w: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Peptide </w:t>
            </w:r>
          </w:p>
        </w:tc>
        <w:tc>
          <w:tcPr>
            <w:tcW w:w="1843"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842"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Proteinases </w:t>
            </w:r>
          </w:p>
        </w:tc>
        <w:tc>
          <w:tcPr>
            <w:tcW w:w="1985"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Neurokinin a</w:t>
            </w:r>
          </w:p>
        </w:tc>
        <w:tc>
          <w:tcPr>
            <w:tcW w:w="1843" w:type="dxa"/>
          </w:tcPr>
          <w:p w:rsidR="009A532E" w:rsidRPr="00DC3D7D" w:rsidRDefault="00D117B7"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Haemolysin</w:t>
            </w:r>
          </w:p>
        </w:tc>
        <w:tc>
          <w:tcPr>
            <w:tcW w:w="1842"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MMPs 3,8,13</w:t>
            </w:r>
          </w:p>
        </w:tc>
        <w:tc>
          <w:tcPr>
            <w:tcW w:w="1985"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Fibronectin fragments</w:t>
            </w: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Osteonectin and bone phosphoprotein</w:t>
            </w: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Neopterin </w:t>
            </w:r>
          </w:p>
        </w:tc>
        <w:tc>
          <w:tcPr>
            <w:tcW w:w="1843"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Hyaluronidase </w:t>
            </w:r>
          </w:p>
        </w:tc>
        <w:tc>
          <w:tcPr>
            <w:tcW w:w="1842"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Aspartate aminotransferase</w:t>
            </w:r>
          </w:p>
        </w:tc>
        <w:tc>
          <w:tcPr>
            <w:tcW w:w="1985"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Connective tissue and bone proteins</w:t>
            </w: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Osteocalcin</w:t>
            </w: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Platel</w:t>
            </w:r>
            <w:r w:rsidR="006921A6" w:rsidRPr="00DC3D7D">
              <w:rPr>
                <w:rFonts w:ascii="Times New Roman" w:eastAsia="MinionPro-Regular" w:hAnsi="Times New Roman" w:cs="Times New Roman"/>
                <w:sz w:val="20"/>
                <w:szCs w:val="20"/>
              </w:rPr>
              <w:t>e</w:t>
            </w:r>
            <w:r w:rsidRPr="00DC3D7D">
              <w:rPr>
                <w:rFonts w:ascii="Times New Roman" w:eastAsia="MinionPro-Regular" w:hAnsi="Times New Roman" w:cs="Times New Roman"/>
                <w:sz w:val="20"/>
                <w:szCs w:val="20"/>
              </w:rPr>
              <w:t xml:space="preserve">t activating factor </w:t>
            </w:r>
          </w:p>
        </w:tc>
        <w:tc>
          <w:tcPr>
            <w:tcW w:w="1843"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Phospholipase </w:t>
            </w:r>
          </w:p>
        </w:tc>
        <w:tc>
          <w:tcPr>
            <w:tcW w:w="1842"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Myeloperoxidases </w:t>
            </w:r>
          </w:p>
        </w:tc>
        <w:tc>
          <w:tcPr>
            <w:tcW w:w="1985"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Type 1 collagen peptides</w:t>
            </w: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p>
        </w:tc>
      </w:tr>
      <w:tr w:rsidR="009A532E" w:rsidRPr="00DC3D7D" w:rsidTr="00D75783">
        <w:tc>
          <w:tcPr>
            <w:tcW w:w="1560"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843" w:type="dxa"/>
          </w:tcPr>
          <w:p w:rsidR="009A532E" w:rsidRPr="00DC3D7D" w:rsidRDefault="00BB6E8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Hydroxyproline </w:t>
            </w:r>
          </w:p>
        </w:tc>
        <w:tc>
          <w:tcPr>
            <w:tcW w:w="1842" w:type="dxa"/>
          </w:tcPr>
          <w:p w:rsidR="009A532E" w:rsidRPr="00DC3D7D" w:rsidRDefault="00BB6E8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Lactate dehydrogenase</w:t>
            </w:r>
          </w:p>
        </w:tc>
        <w:tc>
          <w:tcPr>
            <w:tcW w:w="1985" w:type="dxa"/>
          </w:tcPr>
          <w:p w:rsidR="009A532E" w:rsidRPr="00DC3D7D" w:rsidRDefault="00BB6E8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Polypeptide growth factor</w:t>
            </w:r>
          </w:p>
        </w:tc>
        <w:tc>
          <w:tcPr>
            <w:tcW w:w="2126" w:type="dxa"/>
          </w:tcPr>
          <w:p w:rsidR="009A532E" w:rsidRPr="00DC3D7D" w:rsidRDefault="009A532E" w:rsidP="00DC3D7D">
            <w:pPr>
              <w:autoSpaceDE w:val="0"/>
              <w:autoSpaceDN w:val="0"/>
              <w:adjustRightInd w:val="0"/>
              <w:spacing w:line="360" w:lineRule="auto"/>
              <w:jc w:val="both"/>
              <w:rPr>
                <w:rFonts w:ascii="Times New Roman" w:eastAsia="MinionPro-Regular" w:hAnsi="Times New Roman" w:cs="Times New Roman"/>
                <w:sz w:val="20"/>
                <w:szCs w:val="20"/>
              </w:rPr>
            </w:pPr>
          </w:p>
        </w:tc>
      </w:tr>
    </w:tbl>
    <w:p w:rsidR="00EB5E22" w:rsidRPr="00DC3D7D" w:rsidRDefault="00EB5E22" w:rsidP="00DC3D7D">
      <w:pPr>
        <w:autoSpaceDE w:val="0"/>
        <w:autoSpaceDN w:val="0"/>
        <w:adjustRightInd w:val="0"/>
        <w:spacing w:after="0" w:line="360" w:lineRule="auto"/>
        <w:jc w:val="both"/>
        <w:rPr>
          <w:rFonts w:ascii="Times New Roman" w:eastAsia="MinionPro-Regular" w:hAnsi="Times New Roman" w:cs="Times New Roman"/>
          <w:color w:val="31849B" w:themeColor="accent5" w:themeShade="BF"/>
          <w:sz w:val="20"/>
          <w:szCs w:val="20"/>
        </w:rPr>
      </w:pPr>
    </w:p>
    <w:p w:rsidR="004617E8" w:rsidRPr="00DC3D7D" w:rsidRDefault="004617E8"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 xml:space="preserve">Point of care diagnostics </w:t>
      </w:r>
    </w:p>
    <w:p w:rsidR="004617E8" w:rsidRPr="00DC3D7D" w:rsidRDefault="004617E8" w:rsidP="00DC3D7D">
      <w:pPr>
        <w:autoSpaceDE w:val="0"/>
        <w:autoSpaceDN w:val="0"/>
        <w:adjustRightInd w:val="0"/>
        <w:spacing w:after="0" w:line="360" w:lineRule="auto"/>
        <w:jc w:val="both"/>
        <w:rPr>
          <w:rFonts w:ascii="Times New Roman" w:hAnsi="Times New Roman" w:cs="Times New Roman"/>
          <w:color w:val="222222"/>
          <w:sz w:val="20"/>
          <w:szCs w:val="20"/>
          <w:shd w:val="clear" w:color="auto" w:fill="FFFFFF"/>
        </w:rPr>
      </w:pPr>
      <w:r w:rsidRPr="00DC3D7D">
        <w:rPr>
          <w:rFonts w:ascii="Times New Roman" w:hAnsi="Times New Roman" w:cs="Times New Roman"/>
          <w:color w:val="222222"/>
          <w:sz w:val="20"/>
          <w:szCs w:val="20"/>
          <w:shd w:val="clear" w:color="auto" w:fill="FFFFFF"/>
        </w:rPr>
        <w:t>International standard ISO 22870, </w:t>
      </w:r>
      <w:r w:rsidRPr="00DC3D7D">
        <w:rPr>
          <w:rStyle w:val="Emphasis"/>
          <w:rFonts w:ascii="Times New Roman" w:hAnsi="Times New Roman" w:cs="Times New Roman"/>
          <w:color w:val="222222"/>
          <w:sz w:val="20"/>
          <w:szCs w:val="20"/>
          <w:shd w:val="clear" w:color="auto" w:fill="FFFFFF"/>
        </w:rPr>
        <w:t>Point-of-care testing (POCT) - Requirements for quality and competence</w:t>
      </w:r>
      <w:r w:rsidRPr="00DC3D7D">
        <w:rPr>
          <w:rFonts w:ascii="Times New Roman" w:hAnsi="Times New Roman" w:cs="Times New Roman"/>
          <w:color w:val="222222"/>
          <w:sz w:val="20"/>
          <w:szCs w:val="20"/>
          <w:shd w:val="clear" w:color="auto" w:fill="FFFFFF"/>
        </w:rPr>
        <w:t>, defines POCT as: “testing that is performed near or at the site of a patient with the result leading to possible change in the care of the patient”.</w:t>
      </w:r>
    </w:p>
    <w:p w:rsidR="004617E8" w:rsidRPr="00DC3D7D" w:rsidRDefault="004617E8" w:rsidP="00DC3D7D">
      <w:pPr>
        <w:autoSpaceDE w:val="0"/>
        <w:autoSpaceDN w:val="0"/>
        <w:adjustRightInd w:val="0"/>
        <w:spacing w:after="0" w:line="360" w:lineRule="auto"/>
        <w:jc w:val="both"/>
        <w:rPr>
          <w:rFonts w:ascii="Times New Roman" w:hAnsi="Times New Roman" w:cs="Times New Roman"/>
          <w:color w:val="F79646" w:themeColor="accent6"/>
          <w:sz w:val="20"/>
          <w:szCs w:val="20"/>
        </w:rPr>
      </w:pPr>
      <w:r w:rsidRPr="00DC3D7D">
        <w:rPr>
          <w:rFonts w:ascii="Times New Roman" w:hAnsi="Times New Roman" w:cs="Times New Roman"/>
          <w:color w:val="000000"/>
          <w:sz w:val="20"/>
          <w:szCs w:val="20"/>
        </w:rPr>
        <w:t>High specificity and sensitivity are essential requirements of a good diagnostic marker which could be used chairside or in a home use device. The widespread use, simplicity, level of reliability and relative low cost of a home-used pregnancy test is the pa</w:t>
      </w:r>
      <w:r w:rsidR="006921A6" w:rsidRPr="00DC3D7D">
        <w:rPr>
          <w:rFonts w:ascii="Times New Roman" w:hAnsi="Times New Roman" w:cs="Times New Roman"/>
          <w:color w:val="000000"/>
          <w:sz w:val="20"/>
          <w:szCs w:val="20"/>
        </w:rPr>
        <w:t>th to follow in periodontics</w:t>
      </w:r>
      <w:r w:rsidR="006921A6" w:rsidRPr="00DC3D7D">
        <w:rPr>
          <w:rFonts w:ascii="Times New Roman" w:hAnsi="Times New Roman" w:cs="Times New Roman"/>
          <w:color w:val="000000"/>
          <w:sz w:val="20"/>
          <w:szCs w:val="20"/>
          <w:vertAlign w:val="superscript"/>
        </w:rPr>
        <w:t>11</w:t>
      </w:r>
      <w:r w:rsidRPr="00DC3D7D">
        <w:rPr>
          <w:rFonts w:ascii="Times New Roman" w:hAnsi="Times New Roman" w:cs="Times New Roman"/>
          <w:sz w:val="20"/>
          <w:szCs w:val="20"/>
        </w:rPr>
        <w:t xml:space="preserve">. </w:t>
      </w:r>
    </w:p>
    <w:p w:rsidR="006921A6" w:rsidRPr="00DC3D7D" w:rsidRDefault="006921A6" w:rsidP="00DC3D7D">
      <w:pPr>
        <w:autoSpaceDE w:val="0"/>
        <w:autoSpaceDN w:val="0"/>
        <w:adjustRightInd w:val="0"/>
        <w:spacing w:after="0" w:line="360" w:lineRule="auto"/>
        <w:jc w:val="both"/>
        <w:rPr>
          <w:rFonts w:ascii="Times New Roman" w:eastAsia="MinionPro-Regular" w:hAnsi="Times New Roman" w:cs="Times New Roman"/>
          <w:color w:val="F79646" w:themeColor="accent6"/>
          <w:sz w:val="20"/>
          <w:szCs w:val="20"/>
        </w:rPr>
      </w:pPr>
    </w:p>
    <w:p w:rsidR="004617E8" w:rsidRPr="00DC3D7D" w:rsidRDefault="004959A0" w:rsidP="00DC3D7D">
      <w:pPr>
        <w:autoSpaceDE w:val="0"/>
        <w:autoSpaceDN w:val="0"/>
        <w:adjustRightInd w:val="0"/>
        <w:spacing w:after="0" w:line="360" w:lineRule="auto"/>
        <w:jc w:val="both"/>
        <w:rPr>
          <w:rFonts w:ascii="Times New Roman" w:eastAsia="MinionPro-Regular" w:hAnsi="Times New Roman" w:cs="Times New Roman"/>
          <w:b/>
          <w:color w:val="FF0000"/>
          <w:sz w:val="20"/>
          <w:szCs w:val="20"/>
        </w:rPr>
      </w:pPr>
      <w:r w:rsidRPr="00DC3D7D">
        <w:rPr>
          <w:rFonts w:ascii="Times New Roman" w:hAnsi="Times New Roman" w:cs="Times New Roman"/>
          <w:b/>
          <w:sz w:val="20"/>
          <w:szCs w:val="20"/>
        </w:rPr>
        <w:t xml:space="preserve">Clinical </w:t>
      </w:r>
      <w:proofErr w:type="spellStart"/>
      <w:r w:rsidRPr="00DC3D7D">
        <w:rPr>
          <w:rFonts w:ascii="Times New Roman" w:hAnsi="Times New Roman" w:cs="Times New Roman"/>
          <w:b/>
          <w:sz w:val="20"/>
          <w:szCs w:val="20"/>
        </w:rPr>
        <w:t>Chairside</w:t>
      </w:r>
      <w:proofErr w:type="spellEnd"/>
      <w:r w:rsidRPr="00DC3D7D">
        <w:rPr>
          <w:rFonts w:ascii="Times New Roman" w:hAnsi="Times New Roman" w:cs="Times New Roman"/>
          <w:b/>
          <w:sz w:val="20"/>
          <w:szCs w:val="20"/>
        </w:rPr>
        <w:t xml:space="preserve"> Diagnostic Platforms</w:t>
      </w:r>
    </w:p>
    <w:p w:rsidR="006D303C" w:rsidRPr="00DC3D7D" w:rsidRDefault="006D303C" w:rsidP="00DC3D7D">
      <w:pPr>
        <w:autoSpaceDE w:val="0"/>
        <w:autoSpaceDN w:val="0"/>
        <w:adjustRightInd w:val="0"/>
        <w:spacing w:after="0" w:line="360" w:lineRule="auto"/>
        <w:jc w:val="both"/>
        <w:rPr>
          <w:rFonts w:ascii="Times New Roman" w:eastAsia="MinionPro-Regular" w:hAnsi="Times New Roman" w:cs="Times New Roman"/>
          <w:color w:val="FF0000"/>
          <w:sz w:val="20"/>
          <w:szCs w:val="20"/>
          <w:u w:val="single"/>
        </w:rPr>
      </w:pPr>
    </w:p>
    <w:tbl>
      <w:tblPr>
        <w:tblStyle w:val="TableGrid"/>
        <w:tblW w:w="9322" w:type="dxa"/>
        <w:tblLayout w:type="fixed"/>
        <w:tblLook w:val="04A0"/>
      </w:tblPr>
      <w:tblGrid>
        <w:gridCol w:w="1384"/>
        <w:gridCol w:w="1559"/>
        <w:gridCol w:w="1134"/>
        <w:gridCol w:w="964"/>
        <w:gridCol w:w="1304"/>
        <w:gridCol w:w="1418"/>
        <w:gridCol w:w="1559"/>
      </w:tblGrid>
      <w:tr w:rsidR="00AA6CED" w:rsidRPr="00DC3D7D" w:rsidTr="002843C9">
        <w:tc>
          <w:tcPr>
            <w:tcW w:w="138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Classification</w:t>
            </w:r>
          </w:p>
        </w:tc>
        <w:tc>
          <w:tcPr>
            <w:tcW w:w="1559"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Platforms</w:t>
            </w:r>
          </w:p>
        </w:tc>
        <w:tc>
          <w:tcPr>
            <w:tcW w:w="113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Sample</w:t>
            </w:r>
          </w:p>
        </w:tc>
        <w:tc>
          <w:tcPr>
            <w:tcW w:w="96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Targets</w:t>
            </w:r>
          </w:p>
        </w:tc>
        <w:tc>
          <w:tcPr>
            <w:tcW w:w="130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Principle</w:t>
            </w:r>
          </w:p>
        </w:tc>
        <w:tc>
          <w:tcPr>
            <w:tcW w:w="1418"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Merits</w:t>
            </w:r>
          </w:p>
        </w:tc>
        <w:tc>
          <w:tcPr>
            <w:tcW w:w="1559"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Demerits</w:t>
            </w:r>
          </w:p>
        </w:tc>
      </w:tr>
      <w:tr w:rsidR="00AA6CED" w:rsidRPr="00DC3D7D" w:rsidTr="002843C9">
        <w:tc>
          <w:tcPr>
            <w:tcW w:w="138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Microbiological </w:t>
            </w:r>
          </w:p>
        </w:tc>
        <w:tc>
          <w:tcPr>
            <w:tcW w:w="1559"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Omnigene </w:t>
            </w:r>
          </w:p>
        </w:tc>
        <w:tc>
          <w:tcPr>
            <w:tcW w:w="113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Laboratory and clinical specimens</w:t>
            </w:r>
          </w:p>
        </w:tc>
        <w:tc>
          <w:tcPr>
            <w:tcW w:w="96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Aa, Pg</w:t>
            </w:r>
          </w:p>
        </w:tc>
        <w:tc>
          <w:tcPr>
            <w:tcW w:w="130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DNA hybridization</w:t>
            </w:r>
          </w:p>
        </w:tc>
        <w:tc>
          <w:tcPr>
            <w:tcW w:w="1418"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Quantification</w:t>
            </w:r>
          </w:p>
        </w:tc>
        <w:tc>
          <w:tcPr>
            <w:tcW w:w="1559" w:type="dxa"/>
          </w:tcPr>
          <w:p w:rsidR="00AA6CED"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(i) Dependence on fully licensed lab</w:t>
            </w:r>
          </w:p>
          <w:p w:rsidR="00AA6CED" w:rsidRPr="00DC3D7D" w:rsidRDefault="00AA6CED"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 xml:space="preserve">(ii) Time- consuming </w:t>
            </w:r>
          </w:p>
        </w:tc>
      </w:tr>
      <w:tr w:rsidR="00AA6CED" w:rsidRPr="00DC3D7D" w:rsidTr="002843C9">
        <w:tc>
          <w:tcPr>
            <w:tcW w:w="138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Evalusite</w:t>
            </w:r>
          </w:p>
        </w:tc>
        <w:tc>
          <w:tcPr>
            <w:tcW w:w="113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Subgingival samples</w:t>
            </w:r>
          </w:p>
        </w:tc>
        <w:tc>
          <w:tcPr>
            <w:tcW w:w="96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Aa, Pg, Pi</w:t>
            </w:r>
          </w:p>
        </w:tc>
        <w:tc>
          <w:tcPr>
            <w:tcW w:w="130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Sandwich enzyme immunoassay</w:t>
            </w:r>
          </w:p>
        </w:tc>
        <w:tc>
          <w:tcPr>
            <w:tcW w:w="1418"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Visual detection and differentiation of antigens</w:t>
            </w:r>
          </w:p>
        </w:tc>
        <w:tc>
          <w:tcPr>
            <w:tcW w:w="1559"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(i) Multistep operation</w:t>
            </w:r>
          </w:p>
          <w:p w:rsidR="00AA6CED" w:rsidRPr="00DC3D7D" w:rsidRDefault="00AA6CED"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(ii) Subjective readout</w:t>
            </w:r>
          </w:p>
          <w:p w:rsidR="00AA6CED" w:rsidRPr="00DC3D7D" w:rsidRDefault="00AA6CED"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(iii) low sensitivity in shallow pockets</w:t>
            </w:r>
          </w:p>
        </w:tc>
      </w:tr>
      <w:tr w:rsidR="00AA6CED" w:rsidRPr="00DC3D7D" w:rsidTr="002843C9">
        <w:tc>
          <w:tcPr>
            <w:tcW w:w="1384" w:type="dxa"/>
          </w:tcPr>
          <w:p w:rsidR="006D303C" w:rsidRPr="00DC3D7D" w:rsidRDefault="006D303C"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PerioScan</w:t>
            </w:r>
          </w:p>
        </w:tc>
        <w:tc>
          <w:tcPr>
            <w:tcW w:w="113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Subgingival plaque</w:t>
            </w:r>
          </w:p>
        </w:tc>
        <w:tc>
          <w:tcPr>
            <w:tcW w:w="96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Pg, Td</w:t>
            </w:r>
          </w:p>
        </w:tc>
        <w:tc>
          <w:tcPr>
            <w:tcW w:w="1304"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BANA reac</w:t>
            </w:r>
            <w:r w:rsidR="005E5D98" w:rsidRPr="00DC3D7D">
              <w:rPr>
                <w:rFonts w:ascii="Times New Roman" w:eastAsia="MinionPro-Regular" w:hAnsi="Times New Roman" w:cs="Times New Roman"/>
                <w:sz w:val="20"/>
                <w:szCs w:val="20"/>
              </w:rPr>
              <w:t>t</w:t>
            </w:r>
            <w:r w:rsidRPr="00DC3D7D">
              <w:rPr>
                <w:rFonts w:ascii="Times New Roman" w:eastAsia="MinionPro-Regular" w:hAnsi="Times New Roman" w:cs="Times New Roman"/>
                <w:sz w:val="20"/>
                <w:szCs w:val="20"/>
              </w:rPr>
              <w:t>ion</w:t>
            </w:r>
          </w:p>
        </w:tc>
        <w:tc>
          <w:tcPr>
            <w:tcW w:w="1418" w:type="dxa"/>
          </w:tcPr>
          <w:p w:rsidR="006D303C" w:rsidRPr="00DC3D7D" w:rsidRDefault="00AA6CED"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Detection of volatile sulphur- containing compounds in halitosis patients</w:t>
            </w:r>
          </w:p>
        </w:tc>
        <w:tc>
          <w:tcPr>
            <w:tcW w:w="1559"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(i) </w:t>
            </w:r>
            <w:r w:rsidR="00AA6CED" w:rsidRPr="00DC3D7D">
              <w:rPr>
                <w:rFonts w:ascii="Times New Roman" w:eastAsia="MinionPro-Regular" w:hAnsi="Times New Roman" w:cs="Times New Roman"/>
                <w:sz w:val="20"/>
                <w:szCs w:val="20"/>
              </w:rPr>
              <w:t>Quantification is not possible</w:t>
            </w:r>
          </w:p>
          <w:p w:rsidR="005E5D98" w:rsidRPr="00DC3D7D" w:rsidRDefault="005E5D98"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(ii) unable to differentiate between bacterial species</w:t>
            </w:r>
          </w:p>
        </w:tc>
      </w:tr>
      <w:tr w:rsidR="00CD18CE" w:rsidRPr="00DC3D7D" w:rsidTr="002843C9">
        <w:tc>
          <w:tcPr>
            <w:tcW w:w="1384"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Perio 2000</w:t>
            </w:r>
          </w:p>
        </w:tc>
        <w:tc>
          <w:tcPr>
            <w:tcW w:w="1134" w:type="dxa"/>
          </w:tcPr>
          <w:p w:rsidR="00CD18CE" w:rsidRPr="00DC3D7D" w:rsidRDefault="003D133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Subgingival samples</w:t>
            </w:r>
          </w:p>
        </w:tc>
        <w:tc>
          <w:tcPr>
            <w:tcW w:w="964" w:type="dxa"/>
          </w:tcPr>
          <w:p w:rsidR="00CD18CE" w:rsidRPr="00DC3D7D" w:rsidRDefault="003D133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hAnsi="Times New Roman" w:cs="Times New Roman"/>
                <w:iCs/>
                <w:color w:val="000000"/>
                <w:sz w:val="20"/>
                <w:szCs w:val="20"/>
              </w:rPr>
              <w:t>Pg, Pi and Tf</w:t>
            </w:r>
          </w:p>
        </w:tc>
        <w:tc>
          <w:tcPr>
            <w:tcW w:w="1304" w:type="dxa"/>
          </w:tcPr>
          <w:p w:rsidR="00CD18CE" w:rsidRPr="00DC3D7D" w:rsidRDefault="003D133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VSCs</w:t>
            </w:r>
          </w:p>
        </w:tc>
        <w:tc>
          <w:tcPr>
            <w:tcW w:w="1418" w:type="dxa"/>
          </w:tcPr>
          <w:p w:rsidR="00CD18CE" w:rsidRPr="00DC3D7D" w:rsidRDefault="003D133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Easy to use</w:t>
            </w:r>
          </w:p>
        </w:tc>
        <w:tc>
          <w:tcPr>
            <w:tcW w:w="1559" w:type="dxa"/>
          </w:tcPr>
          <w:p w:rsidR="00CD18CE" w:rsidRPr="00DC3D7D" w:rsidRDefault="003D1330"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Quantification is not possible</w:t>
            </w:r>
          </w:p>
        </w:tc>
      </w:tr>
      <w:tr w:rsidR="00AA6CED" w:rsidRPr="00DC3D7D" w:rsidTr="002843C9">
        <w:tc>
          <w:tcPr>
            <w:tcW w:w="1384"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Biochemical </w:t>
            </w:r>
          </w:p>
        </w:tc>
        <w:tc>
          <w:tcPr>
            <w:tcW w:w="1559"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roofErr w:type="spellStart"/>
            <w:r w:rsidRPr="00DC3D7D">
              <w:rPr>
                <w:rFonts w:ascii="Times New Roman" w:eastAsia="MinionPro-Regular" w:hAnsi="Times New Roman" w:cs="Times New Roman"/>
                <w:sz w:val="20"/>
                <w:szCs w:val="20"/>
              </w:rPr>
              <w:t>Periocheck</w:t>
            </w:r>
            <w:proofErr w:type="spellEnd"/>
            <w:r w:rsidRPr="00DC3D7D">
              <w:rPr>
                <w:rFonts w:ascii="Times New Roman" w:eastAsia="MinionPro-Regular" w:hAnsi="Times New Roman" w:cs="Times New Roman"/>
                <w:sz w:val="20"/>
                <w:szCs w:val="20"/>
              </w:rPr>
              <w:t xml:space="preserve"> </w:t>
            </w:r>
          </w:p>
        </w:tc>
        <w:tc>
          <w:tcPr>
            <w:tcW w:w="1134"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GCF</w:t>
            </w:r>
          </w:p>
        </w:tc>
        <w:tc>
          <w:tcPr>
            <w:tcW w:w="964"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Neutral proteases</w:t>
            </w:r>
          </w:p>
        </w:tc>
        <w:tc>
          <w:tcPr>
            <w:tcW w:w="1304"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Enzymatic digestion reaction</w:t>
            </w:r>
          </w:p>
        </w:tc>
        <w:tc>
          <w:tcPr>
            <w:tcW w:w="1418"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Visual readout of levels of neutral proteases</w:t>
            </w:r>
          </w:p>
        </w:tc>
        <w:tc>
          <w:tcPr>
            <w:tcW w:w="1559" w:type="dxa"/>
          </w:tcPr>
          <w:p w:rsidR="006D303C"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(i) Quantification is not possible</w:t>
            </w:r>
          </w:p>
          <w:p w:rsidR="005E5D98" w:rsidRPr="00DC3D7D" w:rsidRDefault="005E5D98"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 xml:space="preserve">(ii) low specificity for PMN </w:t>
            </w:r>
            <w:r w:rsidRPr="00DC3D7D">
              <w:rPr>
                <w:rFonts w:ascii="Times New Roman" w:hAnsi="Times New Roman" w:cs="Times New Roman"/>
                <w:sz w:val="20"/>
                <w:szCs w:val="20"/>
              </w:rPr>
              <w:lastRenderedPageBreak/>
              <w:t>collagenase</w:t>
            </w:r>
          </w:p>
        </w:tc>
      </w:tr>
      <w:tr w:rsidR="005E5D98" w:rsidRPr="00DC3D7D" w:rsidTr="002843C9">
        <w:tc>
          <w:tcPr>
            <w:tcW w:w="138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roofErr w:type="spellStart"/>
            <w:r w:rsidRPr="00DC3D7D">
              <w:rPr>
                <w:rFonts w:ascii="Times New Roman" w:eastAsia="MinionPro-Regular" w:hAnsi="Times New Roman" w:cs="Times New Roman"/>
                <w:sz w:val="20"/>
                <w:szCs w:val="20"/>
              </w:rPr>
              <w:t>PerioGard</w:t>
            </w:r>
            <w:proofErr w:type="spellEnd"/>
          </w:p>
          <w:p w:rsidR="005E5D98" w:rsidRPr="00DC3D7D" w:rsidRDefault="005E5D98" w:rsidP="00DC3D7D">
            <w:pPr>
              <w:spacing w:line="360" w:lineRule="auto"/>
              <w:jc w:val="both"/>
              <w:rPr>
                <w:rFonts w:ascii="Times New Roman" w:eastAsia="MinionPro-Regular" w:hAnsi="Times New Roman" w:cs="Times New Roman"/>
                <w:sz w:val="20"/>
                <w:szCs w:val="20"/>
              </w:rPr>
            </w:pPr>
          </w:p>
          <w:p w:rsidR="005E5D98" w:rsidRPr="00DC3D7D" w:rsidRDefault="005E5D98" w:rsidP="00DC3D7D">
            <w:pPr>
              <w:spacing w:line="360" w:lineRule="auto"/>
              <w:jc w:val="both"/>
              <w:rPr>
                <w:rFonts w:ascii="Times New Roman" w:eastAsia="MinionPro-Regular" w:hAnsi="Times New Roman" w:cs="Times New Roman"/>
                <w:sz w:val="20"/>
                <w:szCs w:val="20"/>
              </w:rPr>
            </w:pPr>
          </w:p>
          <w:p w:rsidR="005E5D98" w:rsidRPr="00DC3D7D" w:rsidRDefault="005E5D98" w:rsidP="00DC3D7D">
            <w:pPr>
              <w:spacing w:line="360" w:lineRule="auto"/>
              <w:jc w:val="both"/>
              <w:rPr>
                <w:rFonts w:ascii="Times New Roman" w:eastAsia="MinionPro-Regular" w:hAnsi="Times New Roman" w:cs="Times New Roman"/>
                <w:sz w:val="20"/>
                <w:szCs w:val="20"/>
              </w:rPr>
            </w:pPr>
          </w:p>
          <w:p w:rsidR="005E5D98" w:rsidRPr="00DC3D7D" w:rsidRDefault="005E5D98" w:rsidP="00DC3D7D">
            <w:pPr>
              <w:spacing w:line="360" w:lineRule="auto"/>
              <w:jc w:val="both"/>
              <w:rPr>
                <w:rFonts w:ascii="Times New Roman" w:eastAsia="MinionPro-Regular" w:hAnsi="Times New Roman" w:cs="Times New Roman"/>
                <w:sz w:val="20"/>
                <w:szCs w:val="20"/>
              </w:rPr>
            </w:pPr>
          </w:p>
        </w:tc>
        <w:tc>
          <w:tcPr>
            <w:tcW w:w="113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GCF</w:t>
            </w:r>
          </w:p>
        </w:tc>
        <w:tc>
          <w:tcPr>
            <w:tcW w:w="96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AST</w:t>
            </w:r>
          </w:p>
        </w:tc>
        <w:tc>
          <w:tcPr>
            <w:tcW w:w="130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Enzymatic catalysis reaction</w:t>
            </w:r>
          </w:p>
        </w:tc>
        <w:tc>
          <w:tcPr>
            <w:tcW w:w="1418"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Visual readout of AST activity, fast</w:t>
            </w:r>
          </w:p>
        </w:tc>
        <w:tc>
          <w:tcPr>
            <w:tcW w:w="1559"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(i) Poor differentiation between colo</w:t>
            </w:r>
            <w:r w:rsidR="00D117B7" w:rsidRPr="00DC3D7D">
              <w:rPr>
                <w:rFonts w:ascii="Times New Roman" w:eastAsia="MinionPro-Regular" w:hAnsi="Times New Roman" w:cs="Times New Roman"/>
                <w:sz w:val="20"/>
                <w:szCs w:val="20"/>
              </w:rPr>
              <w:t>u</w:t>
            </w:r>
            <w:r w:rsidRPr="00DC3D7D">
              <w:rPr>
                <w:rFonts w:ascii="Times New Roman" w:eastAsia="MinionPro-Regular" w:hAnsi="Times New Roman" w:cs="Times New Roman"/>
                <w:sz w:val="20"/>
                <w:szCs w:val="20"/>
              </w:rPr>
              <w:t>rs</w:t>
            </w:r>
          </w:p>
          <w:p w:rsidR="005E5D98" w:rsidRPr="00DC3D7D" w:rsidRDefault="005E5D98"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(ii) complex procedure</w:t>
            </w:r>
          </w:p>
          <w:p w:rsidR="005E5D98" w:rsidRPr="00DC3D7D" w:rsidRDefault="005E5D98" w:rsidP="00DC3D7D">
            <w:pPr>
              <w:spacing w:line="360" w:lineRule="auto"/>
              <w:jc w:val="both"/>
              <w:rPr>
                <w:rFonts w:ascii="Times New Roman" w:hAnsi="Times New Roman" w:cs="Times New Roman"/>
                <w:sz w:val="20"/>
                <w:szCs w:val="20"/>
              </w:rPr>
            </w:pPr>
            <w:r w:rsidRPr="00DC3D7D">
              <w:rPr>
                <w:rFonts w:ascii="Times New Roman" w:hAnsi="Times New Roman" w:cs="Times New Roman"/>
                <w:sz w:val="20"/>
                <w:szCs w:val="20"/>
              </w:rPr>
              <w:t>(iii) Poor discrimination of attachment loss</w:t>
            </w:r>
          </w:p>
        </w:tc>
      </w:tr>
      <w:tr w:rsidR="005E5D98" w:rsidRPr="00DC3D7D" w:rsidTr="002843C9">
        <w:tc>
          <w:tcPr>
            <w:tcW w:w="138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5E5D98"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proofErr w:type="spellStart"/>
            <w:r w:rsidRPr="00DC3D7D">
              <w:rPr>
                <w:rFonts w:ascii="Times New Roman" w:eastAsia="MinionPro-Regular" w:hAnsi="Times New Roman" w:cs="Times New Roman"/>
                <w:sz w:val="20"/>
                <w:szCs w:val="20"/>
              </w:rPr>
              <w:t>PocketWatch</w:t>
            </w:r>
            <w:proofErr w:type="spellEnd"/>
          </w:p>
        </w:tc>
        <w:tc>
          <w:tcPr>
            <w:tcW w:w="113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96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304"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418" w:type="dxa"/>
          </w:tcPr>
          <w:p w:rsidR="005E5D98" w:rsidRPr="00DC3D7D" w:rsidRDefault="005E5D98"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5E5D98"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Susceptible to extracellular matrix effects</w:t>
            </w:r>
          </w:p>
        </w:tc>
      </w:tr>
      <w:tr w:rsidR="002843C9" w:rsidRPr="00DC3D7D" w:rsidTr="002843C9">
        <w:tc>
          <w:tcPr>
            <w:tcW w:w="1384"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proofErr w:type="spellStart"/>
            <w:r w:rsidRPr="00DC3D7D">
              <w:rPr>
                <w:rFonts w:ascii="Times New Roman" w:eastAsia="MinionPro-Regular" w:hAnsi="Times New Roman" w:cs="Times New Roman"/>
                <w:sz w:val="20"/>
                <w:szCs w:val="20"/>
              </w:rPr>
              <w:t>DentoAnalyzer</w:t>
            </w:r>
            <w:proofErr w:type="spellEnd"/>
          </w:p>
        </w:tc>
        <w:tc>
          <w:tcPr>
            <w:tcW w:w="1134"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 xml:space="preserve">Saliva </w:t>
            </w:r>
          </w:p>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GCF</w:t>
            </w:r>
          </w:p>
        </w:tc>
        <w:tc>
          <w:tcPr>
            <w:tcW w:w="964"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Various related bacterial</w:t>
            </w:r>
          </w:p>
        </w:tc>
        <w:tc>
          <w:tcPr>
            <w:tcW w:w="1304"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Sandwich enzyme immunoassay</w:t>
            </w:r>
          </w:p>
        </w:tc>
        <w:tc>
          <w:tcPr>
            <w:tcW w:w="1418"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Quantification, fast</w:t>
            </w:r>
          </w:p>
        </w:tc>
        <w:tc>
          <w:tcPr>
            <w:tcW w:w="1559" w:type="dxa"/>
          </w:tcPr>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Large size</w:t>
            </w:r>
          </w:p>
        </w:tc>
      </w:tr>
      <w:tr w:rsidR="00CD18CE" w:rsidRPr="00DC3D7D" w:rsidTr="002843C9">
        <w:tc>
          <w:tcPr>
            <w:tcW w:w="1384"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p>
        </w:tc>
        <w:tc>
          <w:tcPr>
            <w:tcW w:w="1559"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proofErr w:type="spellStart"/>
            <w:r w:rsidRPr="00DC3D7D">
              <w:rPr>
                <w:rFonts w:ascii="Times New Roman" w:eastAsia="MinionPro-Regular" w:hAnsi="Times New Roman" w:cs="Times New Roman"/>
                <w:sz w:val="20"/>
                <w:szCs w:val="20"/>
              </w:rPr>
              <w:t>Prognostik</w:t>
            </w:r>
            <w:proofErr w:type="spellEnd"/>
            <w:r w:rsidRPr="00DC3D7D">
              <w:rPr>
                <w:rFonts w:ascii="Times New Roman" w:eastAsia="MinionPro-Regular" w:hAnsi="Times New Roman" w:cs="Times New Roman"/>
                <w:sz w:val="20"/>
                <w:szCs w:val="20"/>
              </w:rPr>
              <w:t xml:space="preserve"> </w:t>
            </w:r>
          </w:p>
        </w:tc>
        <w:tc>
          <w:tcPr>
            <w:tcW w:w="1134"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GCF</w:t>
            </w:r>
          </w:p>
        </w:tc>
        <w:tc>
          <w:tcPr>
            <w:tcW w:w="964"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Elastase</w:t>
            </w:r>
          </w:p>
        </w:tc>
        <w:tc>
          <w:tcPr>
            <w:tcW w:w="1304"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proofErr w:type="spellStart"/>
            <w:r w:rsidRPr="00DC3D7D">
              <w:rPr>
                <w:rFonts w:ascii="Times New Roman" w:eastAsia="MinionPro-Regular" w:hAnsi="Times New Roman" w:cs="Times New Roman"/>
                <w:sz w:val="20"/>
                <w:szCs w:val="20"/>
              </w:rPr>
              <w:t>Immunofluoroscence</w:t>
            </w:r>
            <w:proofErr w:type="spellEnd"/>
            <w:r w:rsidRPr="00DC3D7D">
              <w:rPr>
                <w:rFonts w:ascii="Times New Roman" w:eastAsia="MinionPro-Regular" w:hAnsi="Times New Roman" w:cs="Times New Roman"/>
                <w:sz w:val="20"/>
                <w:szCs w:val="20"/>
              </w:rPr>
              <w:t xml:space="preserve"> </w:t>
            </w:r>
          </w:p>
        </w:tc>
        <w:tc>
          <w:tcPr>
            <w:tcW w:w="1418"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Can identify active disease sites</w:t>
            </w:r>
          </w:p>
        </w:tc>
        <w:tc>
          <w:tcPr>
            <w:tcW w:w="1559" w:type="dxa"/>
          </w:tcPr>
          <w:p w:rsidR="00CD18CE" w:rsidRPr="00DC3D7D" w:rsidRDefault="00CD18CE"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eastAsia="MinionPro-Regular" w:hAnsi="Times New Roman" w:cs="Times New Roman"/>
                <w:sz w:val="20"/>
                <w:szCs w:val="20"/>
              </w:rPr>
              <w:t>Further clinical trials required</w:t>
            </w:r>
          </w:p>
        </w:tc>
      </w:tr>
      <w:tr w:rsidR="002843C9" w:rsidRPr="00DC3D7D" w:rsidTr="00197C35">
        <w:tc>
          <w:tcPr>
            <w:tcW w:w="9322" w:type="dxa"/>
            <w:gridSpan w:val="7"/>
          </w:tcPr>
          <w:p w:rsidR="002843C9" w:rsidRPr="00DC3D7D" w:rsidRDefault="002843C9" w:rsidP="00DC3D7D">
            <w:pPr>
              <w:autoSpaceDE w:val="0"/>
              <w:autoSpaceDN w:val="0"/>
              <w:adjustRightInd w:val="0"/>
              <w:spacing w:line="360" w:lineRule="auto"/>
              <w:jc w:val="both"/>
              <w:rPr>
                <w:rFonts w:ascii="Times New Roman" w:hAnsi="Times New Roman" w:cs="Times New Roman"/>
                <w:sz w:val="20"/>
                <w:szCs w:val="20"/>
              </w:rPr>
            </w:pPr>
            <w:proofErr w:type="spellStart"/>
            <w:r w:rsidRPr="00DC3D7D">
              <w:rPr>
                <w:rFonts w:ascii="Times New Roman" w:hAnsi="Times New Roman" w:cs="Times New Roman"/>
                <w:sz w:val="20"/>
                <w:szCs w:val="20"/>
              </w:rPr>
              <w:t>Aa</w:t>
            </w:r>
            <w:proofErr w:type="spellEnd"/>
            <w:r w:rsidRPr="00DC3D7D">
              <w:rPr>
                <w:rFonts w:ascii="Times New Roman" w:hAnsi="Times New Roman" w:cs="Times New Roman"/>
                <w:sz w:val="20"/>
                <w:szCs w:val="20"/>
              </w:rPr>
              <w:t xml:space="preserve">- </w:t>
            </w:r>
            <w:proofErr w:type="spellStart"/>
            <w:r w:rsidRPr="00DC3D7D">
              <w:rPr>
                <w:rFonts w:ascii="Times New Roman" w:hAnsi="Times New Roman" w:cs="Times New Roman"/>
                <w:sz w:val="20"/>
                <w:szCs w:val="20"/>
              </w:rPr>
              <w:t>actinomycetemcomitans</w:t>
            </w:r>
            <w:proofErr w:type="spellEnd"/>
            <w:r w:rsidRPr="00DC3D7D">
              <w:rPr>
                <w:rFonts w:ascii="Times New Roman" w:hAnsi="Times New Roman" w:cs="Times New Roman"/>
                <w:sz w:val="20"/>
                <w:szCs w:val="20"/>
              </w:rPr>
              <w:t xml:space="preserve">; Pg- </w:t>
            </w:r>
            <w:proofErr w:type="spellStart"/>
            <w:r w:rsidRPr="00DC3D7D">
              <w:rPr>
                <w:rFonts w:ascii="Times New Roman" w:hAnsi="Times New Roman" w:cs="Times New Roman"/>
                <w:sz w:val="20"/>
                <w:szCs w:val="20"/>
              </w:rPr>
              <w:t>porphyromonas</w:t>
            </w:r>
            <w:proofErr w:type="spellEnd"/>
            <w:r w:rsidRPr="00DC3D7D">
              <w:rPr>
                <w:rFonts w:ascii="Times New Roman" w:hAnsi="Times New Roman" w:cs="Times New Roman"/>
                <w:sz w:val="20"/>
                <w:szCs w:val="20"/>
              </w:rPr>
              <w:t xml:space="preserve"> </w:t>
            </w:r>
            <w:proofErr w:type="spellStart"/>
            <w:r w:rsidRPr="00DC3D7D">
              <w:rPr>
                <w:rFonts w:ascii="Times New Roman" w:hAnsi="Times New Roman" w:cs="Times New Roman"/>
                <w:sz w:val="20"/>
                <w:szCs w:val="20"/>
              </w:rPr>
              <w:t>gingivalis</w:t>
            </w:r>
            <w:proofErr w:type="spellEnd"/>
            <w:r w:rsidRPr="00DC3D7D">
              <w:rPr>
                <w:rFonts w:ascii="Times New Roman" w:hAnsi="Times New Roman" w:cs="Times New Roman"/>
                <w:sz w:val="20"/>
                <w:szCs w:val="20"/>
              </w:rPr>
              <w:t xml:space="preserve">; Td- </w:t>
            </w:r>
            <w:proofErr w:type="spellStart"/>
            <w:r w:rsidRPr="00DC3D7D">
              <w:rPr>
                <w:rFonts w:ascii="Times New Roman" w:hAnsi="Times New Roman" w:cs="Times New Roman"/>
                <w:sz w:val="20"/>
                <w:szCs w:val="20"/>
              </w:rPr>
              <w:t>treponema</w:t>
            </w:r>
            <w:proofErr w:type="spellEnd"/>
            <w:r w:rsidRPr="00DC3D7D">
              <w:rPr>
                <w:rFonts w:ascii="Times New Roman" w:hAnsi="Times New Roman" w:cs="Times New Roman"/>
                <w:sz w:val="20"/>
                <w:szCs w:val="20"/>
              </w:rPr>
              <w:t xml:space="preserve"> </w:t>
            </w:r>
            <w:proofErr w:type="spellStart"/>
            <w:r w:rsidRPr="00DC3D7D">
              <w:rPr>
                <w:rFonts w:ascii="Times New Roman" w:hAnsi="Times New Roman" w:cs="Times New Roman"/>
                <w:sz w:val="20"/>
                <w:szCs w:val="20"/>
              </w:rPr>
              <w:t>denticola</w:t>
            </w:r>
            <w:proofErr w:type="spellEnd"/>
            <w:r w:rsidRPr="00DC3D7D">
              <w:rPr>
                <w:rFonts w:ascii="Times New Roman" w:hAnsi="Times New Roman" w:cs="Times New Roman"/>
                <w:sz w:val="20"/>
                <w:szCs w:val="20"/>
              </w:rPr>
              <w:t xml:space="preserve">; Pi- </w:t>
            </w:r>
            <w:proofErr w:type="spellStart"/>
            <w:r w:rsidRPr="00DC3D7D">
              <w:rPr>
                <w:rFonts w:ascii="Times New Roman" w:hAnsi="Times New Roman" w:cs="Times New Roman"/>
                <w:sz w:val="20"/>
                <w:szCs w:val="20"/>
              </w:rPr>
              <w:t>prevotella</w:t>
            </w:r>
            <w:proofErr w:type="spellEnd"/>
            <w:r w:rsidRPr="00DC3D7D">
              <w:rPr>
                <w:rFonts w:ascii="Times New Roman" w:hAnsi="Times New Roman" w:cs="Times New Roman"/>
                <w:sz w:val="20"/>
                <w:szCs w:val="20"/>
              </w:rPr>
              <w:t xml:space="preserve"> </w:t>
            </w:r>
            <w:proofErr w:type="spellStart"/>
            <w:r w:rsidRPr="00DC3D7D">
              <w:rPr>
                <w:rFonts w:ascii="Times New Roman" w:hAnsi="Times New Roman" w:cs="Times New Roman"/>
                <w:sz w:val="20"/>
                <w:szCs w:val="20"/>
              </w:rPr>
              <w:t>intermedia</w:t>
            </w:r>
            <w:proofErr w:type="spellEnd"/>
          </w:p>
          <w:p w:rsidR="002843C9" w:rsidRPr="00DC3D7D" w:rsidRDefault="002843C9" w:rsidP="00DC3D7D">
            <w:pPr>
              <w:autoSpaceDE w:val="0"/>
              <w:autoSpaceDN w:val="0"/>
              <w:adjustRightInd w:val="0"/>
              <w:spacing w:line="360" w:lineRule="auto"/>
              <w:jc w:val="both"/>
              <w:rPr>
                <w:rFonts w:ascii="Times New Roman" w:eastAsia="MinionPro-Regular" w:hAnsi="Times New Roman" w:cs="Times New Roman"/>
                <w:sz w:val="20"/>
                <w:szCs w:val="20"/>
              </w:rPr>
            </w:pPr>
            <w:r w:rsidRPr="00DC3D7D">
              <w:rPr>
                <w:rFonts w:ascii="Times New Roman" w:hAnsi="Times New Roman" w:cs="Times New Roman"/>
                <w:sz w:val="20"/>
                <w:szCs w:val="20"/>
              </w:rPr>
              <w:t xml:space="preserve">AST, </w:t>
            </w:r>
            <w:proofErr w:type="spellStart"/>
            <w:r w:rsidRPr="00DC3D7D">
              <w:rPr>
                <w:rFonts w:ascii="Times New Roman" w:hAnsi="Times New Roman" w:cs="Times New Roman"/>
                <w:sz w:val="20"/>
                <w:szCs w:val="20"/>
              </w:rPr>
              <w:t>aspartate</w:t>
            </w:r>
            <w:proofErr w:type="spellEnd"/>
            <w:r w:rsidRPr="00DC3D7D">
              <w:rPr>
                <w:rFonts w:ascii="Times New Roman" w:hAnsi="Times New Roman" w:cs="Times New Roman"/>
                <w:sz w:val="20"/>
                <w:szCs w:val="20"/>
              </w:rPr>
              <w:t xml:space="preserve"> </w:t>
            </w:r>
            <w:proofErr w:type="spellStart"/>
            <w:r w:rsidRPr="00DC3D7D">
              <w:rPr>
                <w:rFonts w:ascii="Times New Roman" w:hAnsi="Times New Roman" w:cs="Times New Roman"/>
                <w:sz w:val="20"/>
                <w:szCs w:val="20"/>
              </w:rPr>
              <w:t>aminotransferase</w:t>
            </w:r>
            <w:proofErr w:type="spellEnd"/>
            <w:r w:rsidRPr="00DC3D7D">
              <w:rPr>
                <w:rFonts w:ascii="Times New Roman" w:hAnsi="Times New Roman" w:cs="Times New Roman"/>
                <w:sz w:val="20"/>
                <w:szCs w:val="20"/>
              </w:rPr>
              <w:t xml:space="preserve">; BANA, N-benzoyl-DL-arginine-2 </w:t>
            </w:r>
            <w:proofErr w:type="spellStart"/>
            <w:r w:rsidRPr="00DC3D7D">
              <w:rPr>
                <w:rFonts w:ascii="Times New Roman" w:hAnsi="Times New Roman" w:cs="Times New Roman"/>
                <w:sz w:val="20"/>
                <w:szCs w:val="20"/>
              </w:rPr>
              <w:t>naphthylamide</w:t>
            </w:r>
            <w:proofErr w:type="spellEnd"/>
            <w:r w:rsidRPr="00DC3D7D">
              <w:rPr>
                <w:rFonts w:ascii="Times New Roman" w:hAnsi="Times New Roman" w:cs="Times New Roman"/>
                <w:sz w:val="20"/>
                <w:szCs w:val="20"/>
              </w:rPr>
              <w:t xml:space="preserve">; PMN, </w:t>
            </w:r>
            <w:proofErr w:type="spellStart"/>
            <w:r w:rsidRPr="00DC3D7D">
              <w:rPr>
                <w:rFonts w:ascii="Times New Roman" w:hAnsi="Times New Roman" w:cs="Times New Roman"/>
                <w:sz w:val="20"/>
                <w:szCs w:val="20"/>
              </w:rPr>
              <w:t>polymorphonuclear</w:t>
            </w:r>
            <w:proofErr w:type="spellEnd"/>
            <w:r w:rsidRPr="00DC3D7D">
              <w:rPr>
                <w:rFonts w:ascii="Times New Roman" w:hAnsi="Times New Roman" w:cs="Times New Roman"/>
                <w:sz w:val="20"/>
                <w:szCs w:val="20"/>
              </w:rPr>
              <w:t xml:space="preserve"> leukocyte</w:t>
            </w:r>
          </w:p>
        </w:tc>
      </w:tr>
    </w:tbl>
    <w:p w:rsidR="006D303C" w:rsidRPr="00DC3D7D" w:rsidRDefault="006D303C" w:rsidP="00DC3D7D">
      <w:pPr>
        <w:autoSpaceDE w:val="0"/>
        <w:autoSpaceDN w:val="0"/>
        <w:adjustRightInd w:val="0"/>
        <w:spacing w:after="0" w:line="360" w:lineRule="auto"/>
        <w:jc w:val="both"/>
        <w:rPr>
          <w:rFonts w:ascii="Times New Roman" w:eastAsia="MinionPro-Regular" w:hAnsi="Times New Roman" w:cs="Times New Roman"/>
          <w:color w:val="FF0000"/>
          <w:sz w:val="20"/>
          <w:szCs w:val="20"/>
          <w:u w:val="single"/>
        </w:rPr>
      </w:pPr>
    </w:p>
    <w:p w:rsidR="004617E8" w:rsidRPr="00DC3D7D" w:rsidRDefault="00722B6B"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What is new?</w:t>
      </w:r>
    </w:p>
    <w:p w:rsidR="004617E8" w:rsidRPr="00DC3D7D" w:rsidRDefault="004617E8" w:rsidP="00DC3D7D">
      <w:p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hAnsi="Times New Roman" w:cs="Times New Roman"/>
          <w:color w:val="000000"/>
          <w:sz w:val="20"/>
          <w:szCs w:val="20"/>
        </w:rPr>
        <w:t xml:space="preserve">‘Lab-on-a-chip’ and </w:t>
      </w:r>
      <w:proofErr w:type="spellStart"/>
      <w:r w:rsidRPr="00DC3D7D">
        <w:rPr>
          <w:rFonts w:ascii="Times New Roman" w:hAnsi="Times New Roman" w:cs="Times New Roman"/>
          <w:color w:val="000000"/>
          <w:sz w:val="20"/>
          <w:szCs w:val="20"/>
        </w:rPr>
        <w:t>microfluidic</w:t>
      </w:r>
      <w:proofErr w:type="spellEnd"/>
      <w:r w:rsidRPr="00DC3D7D">
        <w:rPr>
          <w:rFonts w:ascii="Times New Roman" w:hAnsi="Times New Roman" w:cs="Times New Roman"/>
          <w:color w:val="000000"/>
          <w:sz w:val="20"/>
          <w:szCs w:val="20"/>
        </w:rPr>
        <w:t xml:space="preserve"> devices have emerged as a great hope in managing oral fluids such as saliva and gingival crevicular fluid and they also determine patient’s periodontal disease-risk profile, current disease activity and response to therapeutic interventions. This approach in turn proves to be useful in a chronic infectious disease such as periodontitis in terms of monitoring of episodic nature of this disease and </w:t>
      </w:r>
      <w:r w:rsidR="003D1330" w:rsidRPr="00DC3D7D">
        <w:rPr>
          <w:rFonts w:ascii="Times New Roman" w:hAnsi="Times New Roman" w:cs="Times New Roman"/>
          <w:color w:val="000000"/>
          <w:sz w:val="20"/>
          <w:szCs w:val="20"/>
        </w:rPr>
        <w:t>in making clinical decision</w:t>
      </w:r>
      <w:r w:rsidR="003D1330" w:rsidRPr="00DC3D7D">
        <w:rPr>
          <w:rFonts w:ascii="Times New Roman" w:hAnsi="Times New Roman" w:cs="Times New Roman"/>
          <w:color w:val="000000"/>
          <w:sz w:val="20"/>
          <w:szCs w:val="20"/>
          <w:vertAlign w:val="superscript"/>
        </w:rPr>
        <w:t>7</w:t>
      </w:r>
      <w:r w:rsidRPr="00DC3D7D">
        <w:rPr>
          <w:rFonts w:ascii="Times New Roman" w:hAnsi="Times New Roman" w:cs="Times New Roman"/>
          <w:color w:val="000000"/>
          <w:sz w:val="20"/>
          <w:szCs w:val="20"/>
        </w:rPr>
        <w:t>.</w:t>
      </w:r>
    </w:p>
    <w:p w:rsidR="002064D7" w:rsidRPr="00DC3D7D" w:rsidRDefault="0004369F" w:rsidP="00DC3D7D">
      <w:pPr>
        <w:autoSpaceDE w:val="0"/>
        <w:autoSpaceDN w:val="0"/>
        <w:adjustRightInd w:val="0"/>
        <w:spacing w:after="0" w:line="360" w:lineRule="auto"/>
        <w:jc w:val="both"/>
        <w:rPr>
          <w:rFonts w:ascii="Times New Roman" w:eastAsia="MinionPro-Regular" w:hAnsi="Times New Roman" w:cs="Times New Roman"/>
          <w:b/>
          <w:sz w:val="20"/>
          <w:szCs w:val="20"/>
        </w:rPr>
      </w:pPr>
      <w:r w:rsidRPr="00DC3D7D">
        <w:rPr>
          <w:rFonts w:ascii="Times New Roman" w:eastAsia="MinionPro-Regular" w:hAnsi="Times New Roman" w:cs="Times New Roman"/>
          <w:b/>
          <w:sz w:val="20"/>
          <w:szCs w:val="20"/>
        </w:rPr>
        <w:t xml:space="preserve">Other </w:t>
      </w:r>
      <w:r w:rsidR="00EB5E22" w:rsidRPr="00DC3D7D">
        <w:rPr>
          <w:rFonts w:ascii="Times New Roman" w:eastAsia="MinionPro-Regular" w:hAnsi="Times New Roman" w:cs="Times New Roman"/>
          <w:b/>
          <w:sz w:val="20"/>
          <w:szCs w:val="20"/>
        </w:rPr>
        <w:t>point of care diagnostics</w:t>
      </w:r>
    </w:p>
    <w:p w:rsidR="00D117B7" w:rsidRPr="00F830CC" w:rsidRDefault="00EB5E22" w:rsidP="00DC3D7D">
      <w:pPr>
        <w:autoSpaceDE w:val="0"/>
        <w:autoSpaceDN w:val="0"/>
        <w:adjustRightInd w:val="0"/>
        <w:spacing w:after="0" w:line="360" w:lineRule="auto"/>
        <w:jc w:val="both"/>
        <w:rPr>
          <w:rFonts w:ascii="Times New Roman" w:hAnsi="Times New Roman" w:cs="Times New Roman"/>
          <w:color w:val="000000"/>
          <w:sz w:val="20"/>
          <w:szCs w:val="20"/>
        </w:rPr>
      </w:pPr>
      <w:r w:rsidRPr="00DC3D7D">
        <w:rPr>
          <w:rFonts w:ascii="Times New Roman" w:hAnsi="Times New Roman" w:cs="Times New Roman"/>
          <w:b/>
          <w:bCs/>
          <w:color w:val="000000"/>
          <w:sz w:val="20"/>
          <w:szCs w:val="20"/>
        </w:rPr>
        <w:t xml:space="preserve">a. Oral fluid </w:t>
      </w:r>
      <w:proofErr w:type="spellStart"/>
      <w:r w:rsidRPr="00DC3D7D">
        <w:rPr>
          <w:rFonts w:ascii="Times New Roman" w:hAnsi="Times New Roman" w:cs="Times New Roman"/>
          <w:b/>
          <w:bCs/>
          <w:color w:val="000000"/>
          <w:sz w:val="20"/>
          <w:szCs w:val="20"/>
        </w:rPr>
        <w:t>nanosensor</w:t>
      </w:r>
      <w:proofErr w:type="spellEnd"/>
      <w:r w:rsidRPr="00DC3D7D">
        <w:rPr>
          <w:rFonts w:ascii="Times New Roman" w:hAnsi="Times New Roman" w:cs="Times New Roman"/>
          <w:b/>
          <w:bCs/>
          <w:color w:val="000000"/>
          <w:sz w:val="20"/>
          <w:szCs w:val="20"/>
        </w:rPr>
        <w:t xml:space="preserve"> test: </w:t>
      </w:r>
      <w:r w:rsidRPr="00DC3D7D">
        <w:rPr>
          <w:rFonts w:ascii="Times New Roman" w:hAnsi="Times New Roman" w:cs="Times New Roman"/>
          <w:color w:val="000000"/>
          <w:sz w:val="20"/>
          <w:szCs w:val="20"/>
        </w:rPr>
        <w:t>A new POC device to detect oral cancer in saliva was developed by the University of California, Los Angeles (UCLA) Collaborative Oral Fluid Diagnostic Research Laboratory</w:t>
      </w:r>
      <w:r w:rsidR="00076561" w:rsidRPr="00DC3D7D">
        <w:rPr>
          <w:rFonts w:ascii="Times New Roman" w:hAnsi="Times New Roman" w:cs="Times New Roman"/>
          <w:color w:val="000000"/>
          <w:sz w:val="20"/>
          <w:szCs w:val="20"/>
        </w:rPr>
        <w:t>, led by Dr. David Wong</w:t>
      </w:r>
      <w:r w:rsidR="00076561" w:rsidRPr="00DC3D7D">
        <w:rPr>
          <w:rFonts w:ascii="Times New Roman" w:hAnsi="Times New Roman" w:cs="Times New Roman"/>
          <w:color w:val="000000"/>
          <w:sz w:val="20"/>
          <w:szCs w:val="20"/>
          <w:vertAlign w:val="superscript"/>
        </w:rPr>
        <w:t>12</w:t>
      </w:r>
      <w:proofErr w:type="gramStart"/>
      <w:r w:rsidR="00076561" w:rsidRPr="00DC3D7D">
        <w:rPr>
          <w:rFonts w:ascii="Times New Roman" w:hAnsi="Times New Roman" w:cs="Times New Roman"/>
          <w:color w:val="000000"/>
          <w:sz w:val="20"/>
          <w:szCs w:val="20"/>
          <w:vertAlign w:val="superscript"/>
        </w:rPr>
        <w:t>,13</w:t>
      </w:r>
      <w:proofErr w:type="gramEnd"/>
      <w:r w:rsidRPr="00DC3D7D">
        <w:rPr>
          <w:rFonts w:ascii="Times New Roman" w:hAnsi="Times New Roman" w:cs="Times New Roman"/>
          <w:color w:val="000000"/>
          <w:sz w:val="20"/>
          <w:szCs w:val="20"/>
        </w:rPr>
        <w:t xml:space="preserve">. This is an automated POC device that is designed for the electrochemical detection of multiple salivary proteins and nucleic acids. It is an ultra-sensitive and </w:t>
      </w:r>
      <w:proofErr w:type="spellStart"/>
      <w:r w:rsidRPr="00DC3D7D">
        <w:rPr>
          <w:rFonts w:ascii="Times New Roman" w:hAnsi="Times New Roman" w:cs="Times New Roman"/>
          <w:color w:val="000000"/>
          <w:sz w:val="20"/>
          <w:szCs w:val="20"/>
        </w:rPr>
        <w:t>ultraspecific</w:t>
      </w:r>
      <w:proofErr w:type="spellEnd"/>
      <w:r w:rsidRPr="00DC3D7D">
        <w:rPr>
          <w:rFonts w:ascii="Times New Roman" w:hAnsi="Times New Roman" w:cs="Times New Roman"/>
          <w:color w:val="000000"/>
          <w:sz w:val="20"/>
          <w:szCs w:val="20"/>
        </w:rPr>
        <w:t xml:space="preserve"> micro electromechanical system which simultaneously and precisely detects these proteins and nucleic acid. The product is Oral Fluid Nano Sensor Test (OFNASET). Four salivary mRNA biomarkers (SAT, ODZ, IL-8 and IL-1b) and two salivary proteomic biomarkers (</w:t>
      </w:r>
      <w:proofErr w:type="spellStart"/>
      <w:r w:rsidRPr="00DC3D7D">
        <w:rPr>
          <w:rFonts w:ascii="Times New Roman" w:hAnsi="Times New Roman" w:cs="Times New Roman"/>
          <w:color w:val="000000"/>
          <w:sz w:val="20"/>
          <w:szCs w:val="20"/>
        </w:rPr>
        <w:t>thioredoxin</w:t>
      </w:r>
      <w:proofErr w:type="spellEnd"/>
      <w:r w:rsidRPr="00DC3D7D">
        <w:rPr>
          <w:rFonts w:ascii="Times New Roman" w:hAnsi="Times New Roman" w:cs="Times New Roman"/>
          <w:color w:val="000000"/>
          <w:sz w:val="20"/>
          <w:szCs w:val="20"/>
        </w:rPr>
        <w:t xml:space="preserve"> and IL-8) in saliva </w:t>
      </w:r>
      <w:r w:rsidR="00076561" w:rsidRPr="00DC3D7D">
        <w:rPr>
          <w:rFonts w:ascii="Times New Roman" w:hAnsi="Times New Roman" w:cs="Times New Roman"/>
          <w:color w:val="000000"/>
          <w:sz w:val="20"/>
          <w:szCs w:val="20"/>
        </w:rPr>
        <w:t>are detected in this system</w:t>
      </w:r>
      <w:r w:rsidR="00076561" w:rsidRPr="00DC3D7D">
        <w:rPr>
          <w:rFonts w:ascii="Times New Roman" w:hAnsi="Times New Roman" w:cs="Times New Roman"/>
          <w:color w:val="000000"/>
          <w:sz w:val="20"/>
          <w:szCs w:val="20"/>
          <w:vertAlign w:val="superscript"/>
        </w:rPr>
        <w:t>7</w:t>
      </w:r>
      <w:r w:rsidRPr="00DC3D7D">
        <w:rPr>
          <w:rFonts w:ascii="Times New Roman" w:hAnsi="Times New Roman" w:cs="Times New Roman"/>
          <w:color w:val="000000"/>
          <w:sz w:val="20"/>
          <w:szCs w:val="20"/>
        </w:rPr>
        <w:t>. The OFNASET is actually a screening device for detecting oral canc</w:t>
      </w:r>
      <w:r w:rsidR="00076561" w:rsidRPr="00DC3D7D">
        <w:rPr>
          <w:rFonts w:ascii="Times New Roman" w:hAnsi="Times New Roman" w:cs="Times New Roman"/>
          <w:color w:val="000000"/>
          <w:sz w:val="20"/>
          <w:szCs w:val="20"/>
        </w:rPr>
        <w:t>er</w:t>
      </w:r>
      <w:r w:rsidR="00076561" w:rsidRPr="00DC3D7D">
        <w:rPr>
          <w:rFonts w:ascii="Times New Roman" w:hAnsi="Times New Roman" w:cs="Times New Roman"/>
          <w:color w:val="000000"/>
          <w:sz w:val="20"/>
          <w:szCs w:val="20"/>
          <w:vertAlign w:val="superscript"/>
        </w:rPr>
        <w:t>13</w:t>
      </w:r>
    </w:p>
    <w:p w:rsidR="00EB5E22" w:rsidRPr="00DC3D7D" w:rsidRDefault="00EB5E22" w:rsidP="00DC3D7D">
      <w:pPr>
        <w:autoSpaceDE w:val="0"/>
        <w:autoSpaceDN w:val="0"/>
        <w:adjustRightInd w:val="0"/>
        <w:spacing w:after="0" w:line="360" w:lineRule="auto"/>
        <w:jc w:val="both"/>
        <w:rPr>
          <w:rFonts w:ascii="Times New Roman" w:hAnsi="Times New Roman" w:cs="Times New Roman"/>
          <w:color w:val="000000"/>
          <w:sz w:val="20"/>
          <w:szCs w:val="20"/>
        </w:rPr>
      </w:pPr>
      <w:r w:rsidRPr="00DC3D7D">
        <w:rPr>
          <w:rFonts w:ascii="Times New Roman" w:hAnsi="Times New Roman" w:cs="Times New Roman"/>
          <w:b/>
          <w:bCs/>
          <w:color w:val="000000"/>
          <w:sz w:val="20"/>
          <w:szCs w:val="20"/>
        </w:rPr>
        <w:lastRenderedPageBreak/>
        <w:t xml:space="preserve">b. Electronic taste chips: </w:t>
      </w:r>
      <w:r w:rsidRPr="00DC3D7D">
        <w:rPr>
          <w:rFonts w:ascii="Times New Roman" w:hAnsi="Times New Roman" w:cs="Times New Roman"/>
          <w:color w:val="000000"/>
          <w:sz w:val="20"/>
          <w:szCs w:val="20"/>
        </w:rPr>
        <w:t>Researchers at Rice University in Houston, Texas, are developing a lab-on-a-chip system, which will differentiate between healthy and periodontally diseased individu</w:t>
      </w:r>
      <w:r w:rsidR="00076561" w:rsidRPr="00DC3D7D">
        <w:rPr>
          <w:rFonts w:ascii="Times New Roman" w:hAnsi="Times New Roman" w:cs="Times New Roman"/>
          <w:color w:val="000000"/>
          <w:sz w:val="20"/>
          <w:szCs w:val="20"/>
        </w:rPr>
        <w:t>als based on the CRP levels</w:t>
      </w:r>
      <w:r w:rsidR="00076561" w:rsidRPr="00DC3D7D">
        <w:rPr>
          <w:rFonts w:ascii="Times New Roman" w:hAnsi="Times New Roman" w:cs="Times New Roman"/>
          <w:color w:val="000000"/>
          <w:sz w:val="20"/>
          <w:szCs w:val="20"/>
          <w:vertAlign w:val="superscript"/>
        </w:rPr>
        <w:t>7</w:t>
      </w:r>
      <w:r w:rsidRPr="00DC3D7D">
        <w:rPr>
          <w:rFonts w:ascii="Times New Roman" w:hAnsi="Times New Roman" w:cs="Times New Roman"/>
          <w:color w:val="000000"/>
          <w:sz w:val="20"/>
          <w:szCs w:val="20"/>
        </w:rPr>
        <w:t xml:space="preserve">. This microchip based detection system is used for measuring analytes (acids, bases, electrolytes and proteins) in solution phase. This novel system is called an Electronic Taste Chip (ETC). On the interior regions of the microspheres, sensor array platform is placed where all the chemical and immunological reactions are performed. These microspheres are located on the inverted pyramidal </w:t>
      </w:r>
      <w:proofErr w:type="spellStart"/>
      <w:r w:rsidRPr="00DC3D7D">
        <w:rPr>
          <w:rFonts w:ascii="Times New Roman" w:hAnsi="Times New Roman" w:cs="Times New Roman"/>
          <w:color w:val="000000"/>
          <w:sz w:val="20"/>
          <w:szCs w:val="20"/>
        </w:rPr>
        <w:t>microchambers</w:t>
      </w:r>
      <w:proofErr w:type="spellEnd"/>
      <w:r w:rsidRPr="00DC3D7D">
        <w:rPr>
          <w:rFonts w:ascii="Times New Roman" w:hAnsi="Times New Roman" w:cs="Times New Roman"/>
          <w:color w:val="000000"/>
          <w:sz w:val="20"/>
          <w:szCs w:val="20"/>
        </w:rPr>
        <w:t xml:space="preserve"> of microchip. A Charge-Coupled Device (CCD) video chip visualizes and captures the various optical signals generated by the reactions on the microspheres. The ETC system has the advantage over the ELISA in having porous beads, which allows greater number of antibody molecules to capture and thus detect, CRP at extremely low concentrations. In ELISA, antigen–antibody interactions are generated on a single layer at the bottom of the well </w:t>
      </w:r>
      <w:r w:rsidR="00076561" w:rsidRPr="00DC3D7D">
        <w:rPr>
          <w:rFonts w:ascii="Times New Roman" w:hAnsi="Times New Roman" w:cs="Times New Roman"/>
          <w:color w:val="000000"/>
          <w:sz w:val="20"/>
          <w:szCs w:val="20"/>
          <w:vertAlign w:val="superscript"/>
        </w:rPr>
        <w:t>14</w:t>
      </w:r>
      <w:r w:rsidR="00076561" w:rsidRPr="00DC3D7D">
        <w:rPr>
          <w:rFonts w:ascii="Times New Roman" w:hAnsi="Times New Roman" w:cs="Times New Roman"/>
          <w:color w:val="000000"/>
          <w:sz w:val="20"/>
          <w:szCs w:val="20"/>
        </w:rPr>
        <w:t>.</w:t>
      </w:r>
    </w:p>
    <w:p w:rsidR="00EB5E22" w:rsidRPr="00DC3D7D" w:rsidRDefault="00EB5E22" w:rsidP="00DC3D7D">
      <w:pPr>
        <w:autoSpaceDE w:val="0"/>
        <w:autoSpaceDN w:val="0"/>
        <w:adjustRightInd w:val="0"/>
        <w:spacing w:after="0" w:line="360" w:lineRule="auto"/>
        <w:jc w:val="both"/>
        <w:rPr>
          <w:rFonts w:ascii="Times New Roman" w:hAnsi="Times New Roman" w:cs="Times New Roman"/>
          <w:color w:val="000000"/>
          <w:sz w:val="20"/>
          <w:szCs w:val="20"/>
        </w:rPr>
      </w:pPr>
      <w:r w:rsidRPr="00DC3D7D">
        <w:rPr>
          <w:rFonts w:ascii="Times New Roman" w:hAnsi="Times New Roman" w:cs="Times New Roman"/>
          <w:b/>
          <w:bCs/>
          <w:color w:val="000000"/>
          <w:sz w:val="20"/>
          <w:szCs w:val="20"/>
        </w:rPr>
        <w:t xml:space="preserve">c. </w:t>
      </w:r>
      <w:proofErr w:type="spellStart"/>
      <w:r w:rsidRPr="00DC3D7D">
        <w:rPr>
          <w:rFonts w:ascii="Times New Roman" w:hAnsi="Times New Roman" w:cs="Times New Roman"/>
          <w:b/>
          <w:bCs/>
          <w:color w:val="000000"/>
          <w:sz w:val="20"/>
          <w:szCs w:val="20"/>
        </w:rPr>
        <w:t>OraQuick</w:t>
      </w:r>
      <w:proofErr w:type="spellEnd"/>
      <w:r w:rsidRPr="00DC3D7D">
        <w:rPr>
          <w:rFonts w:ascii="Times New Roman" w:hAnsi="Times New Roman" w:cs="Times New Roman"/>
          <w:b/>
          <w:bCs/>
          <w:color w:val="000000"/>
          <w:sz w:val="20"/>
          <w:szCs w:val="20"/>
        </w:rPr>
        <w:t xml:space="preserve">: </w:t>
      </w:r>
      <w:r w:rsidRPr="00DC3D7D">
        <w:rPr>
          <w:rFonts w:ascii="Times New Roman" w:hAnsi="Times New Roman" w:cs="Times New Roman"/>
          <w:color w:val="000000"/>
          <w:sz w:val="20"/>
          <w:szCs w:val="20"/>
        </w:rPr>
        <w:t>To expedite screening and accurately diagnose HIV infection, rapid POC HI</w:t>
      </w:r>
      <w:r w:rsidR="00076561" w:rsidRPr="00DC3D7D">
        <w:rPr>
          <w:rFonts w:ascii="Times New Roman" w:hAnsi="Times New Roman" w:cs="Times New Roman"/>
          <w:color w:val="000000"/>
          <w:sz w:val="20"/>
          <w:szCs w:val="20"/>
        </w:rPr>
        <w:t>V tests have been developed</w:t>
      </w:r>
      <w:r w:rsidR="00076561" w:rsidRPr="00DC3D7D">
        <w:rPr>
          <w:rFonts w:ascii="Times New Roman" w:hAnsi="Times New Roman" w:cs="Times New Roman"/>
          <w:color w:val="000000"/>
          <w:sz w:val="20"/>
          <w:szCs w:val="20"/>
          <w:vertAlign w:val="superscript"/>
        </w:rPr>
        <w:t>15</w:t>
      </w:r>
      <w:r w:rsidR="00076561" w:rsidRPr="00DC3D7D">
        <w:rPr>
          <w:rFonts w:ascii="Times New Roman" w:hAnsi="Times New Roman" w:cs="Times New Roman"/>
          <w:color w:val="000000"/>
          <w:sz w:val="20"/>
          <w:szCs w:val="20"/>
        </w:rPr>
        <w:t>, which</w:t>
      </w:r>
      <w:r w:rsidRPr="00DC3D7D">
        <w:rPr>
          <w:rFonts w:ascii="Times New Roman" w:hAnsi="Times New Roman" w:cs="Times New Roman"/>
          <w:color w:val="000000"/>
          <w:sz w:val="20"/>
          <w:szCs w:val="20"/>
        </w:rPr>
        <w:t xml:space="preserve"> provides results in 20 minutes. The fluid to be diagnosed is mixed in a vial with developing solution and the results are displayed on a testing device. It is a stick-like device with a fabric swab on one end which is inserted i</w:t>
      </w:r>
      <w:r w:rsidR="00076561" w:rsidRPr="00DC3D7D">
        <w:rPr>
          <w:rFonts w:ascii="Times New Roman" w:hAnsi="Times New Roman" w:cs="Times New Roman"/>
          <w:color w:val="000000"/>
          <w:sz w:val="20"/>
          <w:szCs w:val="20"/>
        </w:rPr>
        <w:t>nto a tube of testing fluid</w:t>
      </w:r>
      <w:r w:rsidR="00076561" w:rsidRPr="00DC3D7D">
        <w:rPr>
          <w:rFonts w:ascii="Times New Roman" w:hAnsi="Times New Roman" w:cs="Times New Roman"/>
          <w:color w:val="000000"/>
          <w:sz w:val="20"/>
          <w:szCs w:val="20"/>
          <w:vertAlign w:val="superscript"/>
        </w:rPr>
        <w:t>7</w:t>
      </w:r>
      <w:r w:rsidRPr="00DC3D7D">
        <w:rPr>
          <w:rFonts w:ascii="Times New Roman" w:hAnsi="Times New Roman" w:cs="Times New Roman"/>
          <w:color w:val="000000"/>
          <w:sz w:val="20"/>
          <w:szCs w:val="20"/>
        </w:rPr>
        <w:t xml:space="preserve">. </w:t>
      </w:r>
      <w:proofErr w:type="spellStart"/>
      <w:r w:rsidRPr="00DC3D7D">
        <w:rPr>
          <w:rFonts w:ascii="Times New Roman" w:hAnsi="Times New Roman" w:cs="Times New Roman"/>
          <w:color w:val="000000"/>
          <w:sz w:val="20"/>
          <w:szCs w:val="20"/>
        </w:rPr>
        <w:t>OraQuick</w:t>
      </w:r>
      <w:proofErr w:type="spellEnd"/>
      <w:r w:rsidRPr="00DC3D7D">
        <w:rPr>
          <w:rFonts w:ascii="Times New Roman" w:hAnsi="Times New Roman" w:cs="Times New Roman"/>
          <w:color w:val="000000"/>
          <w:sz w:val="20"/>
          <w:szCs w:val="20"/>
        </w:rPr>
        <w:t>® is the first FDA-approved oral swab in-home test for HIV-1 and HIV-2.</w:t>
      </w:r>
    </w:p>
    <w:p w:rsidR="002064D7" w:rsidRPr="00DC3D7D" w:rsidRDefault="00EB5E22" w:rsidP="00DC3D7D">
      <w:pPr>
        <w:autoSpaceDE w:val="0"/>
        <w:autoSpaceDN w:val="0"/>
        <w:adjustRightInd w:val="0"/>
        <w:spacing w:after="0" w:line="360" w:lineRule="auto"/>
        <w:jc w:val="both"/>
        <w:rPr>
          <w:rFonts w:ascii="Times New Roman" w:eastAsia="MinionPro-Regular" w:hAnsi="Times New Roman" w:cs="Times New Roman"/>
          <w:sz w:val="20"/>
          <w:szCs w:val="20"/>
        </w:rPr>
      </w:pPr>
      <w:r w:rsidRPr="00DC3D7D">
        <w:rPr>
          <w:rFonts w:ascii="Times New Roman" w:hAnsi="Times New Roman" w:cs="Times New Roman"/>
          <w:b/>
          <w:bCs/>
          <w:color w:val="000000"/>
          <w:sz w:val="20"/>
          <w:szCs w:val="20"/>
        </w:rPr>
        <w:t xml:space="preserve">d. Integrated microfluidic platform for oral diagnostics (IMPOD): </w:t>
      </w:r>
      <w:r w:rsidRPr="00DC3D7D">
        <w:rPr>
          <w:rFonts w:ascii="Times New Roman" w:hAnsi="Times New Roman" w:cs="Times New Roman"/>
          <w:color w:val="000000"/>
          <w:sz w:val="20"/>
          <w:szCs w:val="20"/>
        </w:rPr>
        <w:t xml:space="preserve">IMPOD, a POC diagnostic test, helps in the rapid quantification of salivary biomarkers related to oral disease. It facilitates hands-free saliva analysis by integrating sample </w:t>
      </w:r>
      <w:proofErr w:type="spellStart"/>
      <w:r w:rsidRPr="00DC3D7D">
        <w:rPr>
          <w:rFonts w:ascii="Times New Roman" w:hAnsi="Times New Roman" w:cs="Times New Roman"/>
          <w:color w:val="000000"/>
          <w:sz w:val="20"/>
          <w:szCs w:val="20"/>
        </w:rPr>
        <w:t>pretreatment</w:t>
      </w:r>
      <w:proofErr w:type="spellEnd"/>
      <w:r w:rsidRPr="00DC3D7D">
        <w:rPr>
          <w:rFonts w:ascii="Times New Roman" w:hAnsi="Times New Roman" w:cs="Times New Roman"/>
          <w:color w:val="000000"/>
          <w:sz w:val="20"/>
          <w:szCs w:val="20"/>
        </w:rPr>
        <w:t xml:space="preserve"> with </w:t>
      </w:r>
      <w:proofErr w:type="spellStart"/>
      <w:r w:rsidRPr="00DC3D7D">
        <w:rPr>
          <w:rFonts w:ascii="Times New Roman" w:hAnsi="Times New Roman" w:cs="Times New Roman"/>
          <w:color w:val="000000"/>
          <w:sz w:val="20"/>
          <w:szCs w:val="20"/>
        </w:rPr>
        <w:t>electrophoretic</w:t>
      </w:r>
      <w:proofErr w:type="spellEnd"/>
      <w:r w:rsidRPr="00DC3D7D">
        <w:rPr>
          <w:rFonts w:ascii="Times New Roman" w:hAnsi="Times New Roman" w:cs="Times New Roman"/>
          <w:color w:val="000000"/>
          <w:sz w:val="20"/>
          <w:szCs w:val="20"/>
        </w:rPr>
        <w:t xml:space="preserve"> immunoassays to quickly measure </w:t>
      </w:r>
      <w:proofErr w:type="spellStart"/>
      <w:r w:rsidRPr="00DC3D7D">
        <w:rPr>
          <w:rFonts w:ascii="Times New Roman" w:hAnsi="Times New Roman" w:cs="Times New Roman"/>
          <w:color w:val="000000"/>
          <w:sz w:val="20"/>
          <w:szCs w:val="20"/>
        </w:rPr>
        <w:t>analyte</w:t>
      </w:r>
      <w:proofErr w:type="spellEnd"/>
      <w:r w:rsidRPr="00DC3D7D">
        <w:rPr>
          <w:rFonts w:ascii="Times New Roman" w:hAnsi="Times New Roman" w:cs="Times New Roman"/>
          <w:color w:val="000000"/>
          <w:sz w:val="20"/>
          <w:szCs w:val="20"/>
        </w:rPr>
        <w:t xml:space="preserve"> concentrations in minimally </w:t>
      </w:r>
      <w:proofErr w:type="spellStart"/>
      <w:r w:rsidRPr="00DC3D7D">
        <w:rPr>
          <w:rFonts w:ascii="Times New Roman" w:hAnsi="Times New Roman" w:cs="Times New Roman"/>
          <w:color w:val="000000"/>
          <w:sz w:val="20"/>
          <w:szCs w:val="20"/>
        </w:rPr>
        <w:t>pretreated</w:t>
      </w:r>
      <w:proofErr w:type="spellEnd"/>
      <w:r w:rsidRPr="00DC3D7D">
        <w:rPr>
          <w:rFonts w:ascii="Times New Roman" w:hAnsi="Times New Roman" w:cs="Times New Roman"/>
          <w:color w:val="000000"/>
          <w:sz w:val="20"/>
          <w:szCs w:val="20"/>
        </w:rPr>
        <w:t xml:space="preserve"> saliva samples. Rapid measurement of levels of the collagen cleaving enzyme MMP-8 in saliva from healthy and periodontally diseased subjects can be achieved. The hand-held IMPOD has been used to rapidly (3–10 minutes) measure the concentrations of MMP-8 and other biomarkers in smal</w:t>
      </w:r>
      <w:r w:rsidR="00076561" w:rsidRPr="00DC3D7D">
        <w:rPr>
          <w:rFonts w:ascii="Times New Roman" w:hAnsi="Times New Roman" w:cs="Times New Roman"/>
          <w:color w:val="000000"/>
          <w:sz w:val="20"/>
          <w:szCs w:val="20"/>
        </w:rPr>
        <w:t>l amounts (10 ml) of saliva</w:t>
      </w:r>
      <w:r w:rsidR="00076561" w:rsidRPr="00DC3D7D">
        <w:rPr>
          <w:rFonts w:ascii="Times New Roman" w:hAnsi="Times New Roman" w:cs="Times New Roman"/>
          <w:color w:val="000000"/>
          <w:sz w:val="20"/>
          <w:szCs w:val="20"/>
          <w:vertAlign w:val="superscript"/>
        </w:rPr>
        <w:t>7</w:t>
      </w:r>
      <w:r w:rsidRPr="00DC3D7D">
        <w:rPr>
          <w:rFonts w:ascii="Times New Roman" w:hAnsi="Times New Roman" w:cs="Times New Roman"/>
          <w:color w:val="000000"/>
          <w:sz w:val="20"/>
          <w:szCs w:val="20"/>
        </w:rPr>
        <w:t>.</w:t>
      </w:r>
    </w:p>
    <w:p w:rsidR="0004369F" w:rsidRPr="00DC3D7D" w:rsidRDefault="002064D7" w:rsidP="00DC3D7D">
      <w:pPr>
        <w:autoSpaceDE w:val="0"/>
        <w:autoSpaceDN w:val="0"/>
        <w:adjustRightInd w:val="0"/>
        <w:spacing w:after="0" w:line="360" w:lineRule="auto"/>
        <w:jc w:val="both"/>
        <w:rPr>
          <w:rFonts w:ascii="Times New Roman" w:hAnsi="Times New Roman" w:cs="Times New Roman"/>
          <w:b/>
          <w:sz w:val="20"/>
          <w:szCs w:val="20"/>
        </w:rPr>
      </w:pPr>
      <w:r w:rsidRPr="00DC3D7D">
        <w:rPr>
          <w:rFonts w:ascii="Times New Roman" w:hAnsi="Times New Roman" w:cs="Times New Roman"/>
          <w:b/>
          <w:sz w:val="20"/>
          <w:szCs w:val="20"/>
        </w:rPr>
        <w:t xml:space="preserve">Concluding </w:t>
      </w:r>
      <w:r w:rsidR="0004369F" w:rsidRPr="00DC3D7D">
        <w:rPr>
          <w:rFonts w:ascii="Times New Roman" w:hAnsi="Times New Roman" w:cs="Times New Roman"/>
          <w:b/>
          <w:sz w:val="20"/>
          <w:szCs w:val="20"/>
        </w:rPr>
        <w:t>Remarks and Future Perspectives</w:t>
      </w:r>
    </w:p>
    <w:p w:rsidR="00FF6BA4" w:rsidRPr="00DC3D7D" w:rsidRDefault="002064D7" w:rsidP="00DC3D7D">
      <w:pPr>
        <w:autoSpaceDE w:val="0"/>
        <w:autoSpaceDN w:val="0"/>
        <w:adjustRightInd w:val="0"/>
        <w:spacing w:after="0" w:line="360" w:lineRule="auto"/>
        <w:jc w:val="both"/>
        <w:rPr>
          <w:rFonts w:ascii="Times New Roman" w:hAnsi="Times New Roman" w:cs="Times New Roman"/>
          <w:sz w:val="20"/>
          <w:szCs w:val="20"/>
        </w:rPr>
      </w:pPr>
      <w:r w:rsidRPr="00DC3D7D">
        <w:rPr>
          <w:rFonts w:ascii="Times New Roman" w:hAnsi="Times New Roman" w:cs="Times New Roman"/>
          <w:sz w:val="20"/>
          <w:szCs w:val="20"/>
        </w:rPr>
        <w:t xml:space="preserve">This review summarizes </w:t>
      </w:r>
      <w:proofErr w:type="spellStart"/>
      <w:r w:rsidRPr="00DC3D7D">
        <w:rPr>
          <w:rFonts w:ascii="Times New Roman" w:hAnsi="Times New Roman" w:cs="Times New Roman"/>
          <w:sz w:val="20"/>
          <w:szCs w:val="20"/>
        </w:rPr>
        <w:t>periodontitis</w:t>
      </w:r>
      <w:proofErr w:type="spellEnd"/>
      <w:r w:rsidRPr="00DC3D7D">
        <w:rPr>
          <w:rFonts w:ascii="Times New Roman" w:hAnsi="Times New Roman" w:cs="Times New Roman"/>
          <w:sz w:val="20"/>
          <w:szCs w:val="20"/>
        </w:rPr>
        <w:t xml:space="preserve">-associated biomarkers, traditional clinical methods, and recently developed POCT platforms (LOC and paper-based platforms, chairside tests, and wearable devices) for diagnosing periodontitis. Some of these (e.g., chairside tests) have already been used clinically. Recent developments in POC periodontitis testing mostly derive from the development of nanotechnology: the exploration and use of </w:t>
      </w:r>
      <w:proofErr w:type="spellStart"/>
      <w:r w:rsidRPr="00DC3D7D">
        <w:rPr>
          <w:rFonts w:ascii="Times New Roman" w:hAnsi="Times New Roman" w:cs="Times New Roman"/>
          <w:sz w:val="20"/>
          <w:szCs w:val="20"/>
        </w:rPr>
        <w:t>nanomaterials</w:t>
      </w:r>
      <w:proofErr w:type="spellEnd"/>
      <w:r w:rsidRPr="00DC3D7D">
        <w:rPr>
          <w:rFonts w:ascii="Times New Roman" w:hAnsi="Times New Roman" w:cs="Times New Roman"/>
          <w:sz w:val="20"/>
          <w:szCs w:val="20"/>
        </w:rPr>
        <w:t xml:space="preserve"> bring improved sensitivity and decreased reaction times and detec</w:t>
      </w:r>
      <w:r w:rsidR="005E6A45" w:rsidRPr="00DC3D7D">
        <w:rPr>
          <w:rFonts w:ascii="Times New Roman" w:hAnsi="Times New Roman" w:cs="Times New Roman"/>
          <w:sz w:val="20"/>
          <w:szCs w:val="20"/>
        </w:rPr>
        <w:t>tion costs to POC testing</w:t>
      </w:r>
      <w:r w:rsidR="005E6A45" w:rsidRPr="00DC3D7D">
        <w:rPr>
          <w:rFonts w:ascii="Times New Roman" w:hAnsi="Times New Roman" w:cs="Times New Roman"/>
          <w:sz w:val="20"/>
          <w:szCs w:val="20"/>
          <w:vertAlign w:val="superscript"/>
        </w:rPr>
        <w:t>16, 17</w:t>
      </w:r>
      <w:r w:rsidRPr="00DC3D7D">
        <w:rPr>
          <w:rFonts w:ascii="Times New Roman" w:hAnsi="Times New Roman" w:cs="Times New Roman"/>
          <w:sz w:val="20"/>
          <w:szCs w:val="20"/>
        </w:rPr>
        <w:t xml:space="preserve">. In addition, </w:t>
      </w:r>
      <w:proofErr w:type="spellStart"/>
      <w:r w:rsidRPr="00DC3D7D">
        <w:rPr>
          <w:rFonts w:ascii="Times New Roman" w:hAnsi="Times New Roman" w:cs="Times New Roman"/>
          <w:sz w:val="20"/>
          <w:szCs w:val="20"/>
        </w:rPr>
        <w:t>multianalyte</w:t>
      </w:r>
      <w:proofErr w:type="spellEnd"/>
      <w:r w:rsidRPr="00DC3D7D">
        <w:rPr>
          <w:rFonts w:ascii="Times New Roman" w:hAnsi="Times New Roman" w:cs="Times New Roman"/>
          <w:sz w:val="20"/>
          <w:szCs w:val="20"/>
        </w:rPr>
        <w:t xml:space="preserve"> detection is a powerful tool for increasing the accuracy of periodontitis </w:t>
      </w:r>
      <w:r w:rsidR="005E6A45" w:rsidRPr="00DC3D7D">
        <w:rPr>
          <w:rFonts w:ascii="Times New Roman" w:hAnsi="Times New Roman" w:cs="Times New Roman"/>
          <w:sz w:val="20"/>
          <w:szCs w:val="20"/>
        </w:rPr>
        <w:t>diagnosis</w:t>
      </w:r>
      <w:r w:rsidR="005E6A45" w:rsidRPr="00DC3D7D">
        <w:rPr>
          <w:rFonts w:ascii="Times New Roman" w:hAnsi="Times New Roman" w:cs="Times New Roman"/>
          <w:sz w:val="20"/>
          <w:szCs w:val="20"/>
          <w:vertAlign w:val="superscript"/>
        </w:rPr>
        <w:t>18</w:t>
      </w:r>
      <w:r w:rsidRPr="00DC3D7D">
        <w:rPr>
          <w:rFonts w:ascii="Times New Roman" w:hAnsi="Times New Roman" w:cs="Times New Roman"/>
          <w:sz w:val="20"/>
          <w:szCs w:val="20"/>
        </w:rPr>
        <w:t xml:space="preserve">. </w:t>
      </w:r>
      <w:proofErr w:type="spellStart"/>
      <w:r w:rsidRPr="00DC3D7D">
        <w:rPr>
          <w:rFonts w:ascii="Times New Roman" w:hAnsi="Times New Roman" w:cs="Times New Roman"/>
          <w:sz w:val="20"/>
          <w:szCs w:val="20"/>
        </w:rPr>
        <w:t>Multianalyte</w:t>
      </w:r>
      <w:proofErr w:type="spellEnd"/>
      <w:r w:rsidRPr="00DC3D7D">
        <w:rPr>
          <w:rFonts w:ascii="Times New Roman" w:hAnsi="Times New Roman" w:cs="Times New Roman"/>
          <w:sz w:val="20"/>
          <w:szCs w:val="20"/>
        </w:rPr>
        <w:t xml:space="preserve"> detection can furthermore reduce the demand for sample volume compared with multiple individual tests, and thus is especially suitable for periodontitis diagnostics because the available volume of GCF is very limited (normally less than 2 ml). However, several challenges remain to be addressed for periodontitis POCT platf</w:t>
      </w:r>
      <w:r w:rsidR="00FF6BA4" w:rsidRPr="00DC3D7D">
        <w:rPr>
          <w:rFonts w:ascii="Times New Roman" w:hAnsi="Times New Roman" w:cs="Times New Roman"/>
          <w:sz w:val="20"/>
          <w:szCs w:val="20"/>
        </w:rPr>
        <w:t>orms.</w:t>
      </w:r>
    </w:p>
    <w:p w:rsidR="00FF6BA4" w:rsidRPr="00DC3D7D" w:rsidRDefault="002064D7" w:rsidP="00DC3D7D">
      <w:pPr>
        <w:autoSpaceDE w:val="0"/>
        <w:autoSpaceDN w:val="0"/>
        <w:adjustRightInd w:val="0"/>
        <w:spacing w:after="0" w:line="360" w:lineRule="auto"/>
        <w:jc w:val="both"/>
        <w:rPr>
          <w:rFonts w:ascii="Times New Roman" w:hAnsi="Times New Roman" w:cs="Times New Roman"/>
          <w:sz w:val="20"/>
          <w:szCs w:val="20"/>
        </w:rPr>
      </w:pPr>
      <w:r w:rsidRPr="00DC3D7D">
        <w:rPr>
          <w:rFonts w:ascii="Times New Roman" w:hAnsi="Times New Roman" w:cs="Times New Roman"/>
          <w:sz w:val="20"/>
          <w:szCs w:val="20"/>
        </w:rPr>
        <w:t>For the future development and applications of POC periodontitis testing, researchers and clinicians should concentrate their efforts on three aspects of upstream and downst</w:t>
      </w:r>
      <w:r w:rsidR="00FF6BA4" w:rsidRPr="00DC3D7D">
        <w:rPr>
          <w:rFonts w:ascii="Times New Roman" w:hAnsi="Times New Roman" w:cs="Times New Roman"/>
          <w:sz w:val="20"/>
          <w:szCs w:val="20"/>
        </w:rPr>
        <w:t xml:space="preserve">ream periodontitis diagnostics. </w:t>
      </w:r>
      <w:r w:rsidRPr="00DC3D7D">
        <w:rPr>
          <w:rFonts w:ascii="Times New Roman" w:hAnsi="Times New Roman" w:cs="Times New Roman"/>
          <w:sz w:val="20"/>
          <w:szCs w:val="20"/>
        </w:rPr>
        <w:t xml:space="preserve">First, standard collection and treatment protocol for samples should be established such that detection results can be easily compared within the same evaluation system. Second, to develop periodontitis POCT platforms, two different directions could be explored: prevention and prognosis. For periodontitis prevention, simple and convenient qualitative or semi-quantitative readout POCT methods (e.g., colorimetric detection) are preferred. For periodontitis prognosis, POCT platforms based on quantitative methods, such as fluorescence and </w:t>
      </w:r>
      <w:r w:rsidRPr="00DC3D7D">
        <w:rPr>
          <w:rFonts w:ascii="Times New Roman" w:hAnsi="Times New Roman" w:cs="Times New Roman"/>
          <w:sz w:val="20"/>
          <w:szCs w:val="20"/>
        </w:rPr>
        <w:lastRenderedPageBreak/>
        <w:t xml:space="preserve">electrochemical </w:t>
      </w:r>
      <w:r w:rsidR="005E6A45" w:rsidRPr="00DC3D7D">
        <w:rPr>
          <w:rFonts w:ascii="Times New Roman" w:hAnsi="Times New Roman" w:cs="Times New Roman"/>
          <w:sz w:val="20"/>
          <w:szCs w:val="20"/>
        </w:rPr>
        <w:t>methods</w:t>
      </w:r>
      <w:r w:rsidRPr="00DC3D7D">
        <w:rPr>
          <w:rFonts w:ascii="Times New Roman" w:hAnsi="Times New Roman" w:cs="Times New Roman"/>
          <w:sz w:val="20"/>
          <w:szCs w:val="20"/>
        </w:rPr>
        <w:t xml:space="preserve"> are suggested because they p</w:t>
      </w:r>
      <w:r w:rsidR="005E6A45" w:rsidRPr="00DC3D7D">
        <w:rPr>
          <w:rFonts w:ascii="Times New Roman" w:hAnsi="Times New Roman" w:cs="Times New Roman"/>
          <w:sz w:val="20"/>
          <w:szCs w:val="20"/>
        </w:rPr>
        <w:t xml:space="preserve">rovide more accurate results </w:t>
      </w:r>
      <w:r w:rsidR="005E6A45" w:rsidRPr="00DC3D7D">
        <w:rPr>
          <w:rFonts w:ascii="Times New Roman" w:hAnsi="Times New Roman" w:cs="Times New Roman"/>
          <w:sz w:val="20"/>
          <w:szCs w:val="20"/>
          <w:vertAlign w:val="superscript"/>
        </w:rPr>
        <w:t>19, 20–23</w:t>
      </w:r>
      <w:r w:rsidRPr="00DC3D7D">
        <w:rPr>
          <w:rFonts w:ascii="Times New Roman" w:hAnsi="Times New Roman" w:cs="Times New Roman"/>
          <w:sz w:val="20"/>
          <w:szCs w:val="20"/>
        </w:rPr>
        <w:t xml:space="preserve">. Third, to </w:t>
      </w:r>
      <w:r w:rsidR="005E6A45" w:rsidRPr="00DC3D7D">
        <w:rPr>
          <w:rFonts w:ascii="Times New Roman" w:hAnsi="Times New Roman" w:cs="Times New Roman"/>
          <w:sz w:val="20"/>
          <w:szCs w:val="20"/>
        </w:rPr>
        <w:t>analyse</w:t>
      </w:r>
      <w:r w:rsidRPr="00DC3D7D">
        <w:rPr>
          <w:rFonts w:ascii="Times New Roman" w:hAnsi="Times New Roman" w:cs="Times New Roman"/>
          <w:sz w:val="20"/>
          <w:szCs w:val="20"/>
        </w:rPr>
        <w:t xml:space="preserve"> downstream results, long-distance medicine can be established via a mobile app or website to help patients consult with doctors. In addition, a personal record file for every user that contains their detection results can be set up </w:t>
      </w:r>
      <w:r w:rsidR="00FF6BA4" w:rsidRPr="00DC3D7D">
        <w:rPr>
          <w:rFonts w:ascii="Times New Roman" w:hAnsi="Times New Roman" w:cs="Times New Roman"/>
          <w:sz w:val="20"/>
          <w:szCs w:val="20"/>
        </w:rPr>
        <w:t>to track their disease history.</w:t>
      </w:r>
    </w:p>
    <w:p w:rsidR="002064D7" w:rsidRPr="00DC3D7D" w:rsidRDefault="002064D7" w:rsidP="00DC3D7D">
      <w:pPr>
        <w:autoSpaceDE w:val="0"/>
        <w:autoSpaceDN w:val="0"/>
        <w:adjustRightInd w:val="0"/>
        <w:spacing w:after="0" w:line="360" w:lineRule="auto"/>
        <w:jc w:val="both"/>
        <w:rPr>
          <w:rFonts w:ascii="Times New Roman" w:hAnsi="Times New Roman" w:cs="Times New Roman"/>
          <w:sz w:val="20"/>
          <w:szCs w:val="20"/>
        </w:rPr>
      </w:pPr>
      <w:r w:rsidRPr="00DC3D7D">
        <w:rPr>
          <w:rFonts w:ascii="Times New Roman" w:hAnsi="Times New Roman" w:cs="Times New Roman"/>
          <w:sz w:val="20"/>
          <w:szCs w:val="20"/>
        </w:rPr>
        <w:t xml:space="preserve">By collecting diagnostic and therapeutic information (involving outpatient diagnostics results, therapeutic regimens, and prognosis results) from all periodontitis patients, a cloud database about periodontitis therapy can be constructed. In combination with machine learning and big-data analytics, more accurate diagnosis and more effective treatments could be provided </w:t>
      </w:r>
      <w:r w:rsidR="009B64DE" w:rsidRPr="00DC3D7D">
        <w:rPr>
          <w:rFonts w:ascii="Times New Roman" w:hAnsi="Times New Roman" w:cs="Times New Roman"/>
          <w:sz w:val="20"/>
          <w:szCs w:val="20"/>
        </w:rPr>
        <w:t>to users in the future (Figure 3</w:t>
      </w:r>
      <w:r w:rsidRPr="00DC3D7D">
        <w:rPr>
          <w:rFonts w:ascii="Times New Roman" w:hAnsi="Times New Roman" w:cs="Times New Roman"/>
          <w:sz w:val="20"/>
          <w:szCs w:val="20"/>
        </w:rPr>
        <w:t>).</w:t>
      </w:r>
    </w:p>
    <w:p w:rsidR="002064D7" w:rsidRPr="00DC3D7D" w:rsidRDefault="002064D7" w:rsidP="00DC3D7D">
      <w:pPr>
        <w:autoSpaceDE w:val="0"/>
        <w:autoSpaceDN w:val="0"/>
        <w:adjustRightInd w:val="0"/>
        <w:spacing w:after="0" w:line="360" w:lineRule="auto"/>
        <w:jc w:val="both"/>
        <w:rPr>
          <w:rFonts w:ascii="Times New Roman" w:hAnsi="Times New Roman" w:cs="Times New Roman"/>
          <w:sz w:val="20"/>
          <w:szCs w:val="20"/>
        </w:rPr>
      </w:pPr>
    </w:p>
    <w:p w:rsidR="00A50341" w:rsidRPr="00DC3D7D" w:rsidRDefault="00A50341" w:rsidP="00DC3D7D">
      <w:pPr>
        <w:spacing w:after="0" w:line="360" w:lineRule="auto"/>
        <w:rPr>
          <w:rFonts w:ascii="Times New Roman" w:hAnsi="Times New Roman" w:cs="Times New Roman"/>
          <w:sz w:val="20"/>
          <w:szCs w:val="20"/>
        </w:rPr>
      </w:pPr>
      <w:r w:rsidRPr="00DC3D7D">
        <w:rPr>
          <w:rFonts w:ascii="Times New Roman" w:hAnsi="Times New Roman" w:cs="Times New Roman"/>
          <w:noProof/>
          <w:sz w:val="20"/>
          <w:szCs w:val="20"/>
          <w:lang w:val="en-US"/>
        </w:rPr>
        <w:drawing>
          <wp:inline distT="0" distB="0" distL="0" distR="0">
            <wp:extent cx="5731510" cy="2747360"/>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srcRect l="8844" t="25676" r="25170" b="18056"/>
                    <a:stretch/>
                  </pic:blipFill>
                  <pic:spPr bwMode="auto">
                    <a:xfrm>
                      <a:off x="0" y="0"/>
                      <a:ext cx="5731510" cy="2747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341" w:rsidRPr="00DC3D7D" w:rsidRDefault="00A50341" w:rsidP="00DC3D7D">
      <w:pPr>
        <w:pStyle w:val="Default"/>
        <w:spacing w:line="360" w:lineRule="auto"/>
        <w:jc w:val="both"/>
        <w:rPr>
          <w:rFonts w:ascii="Times New Roman" w:hAnsi="Times New Roman" w:cs="Times New Roman"/>
          <w:sz w:val="20"/>
          <w:szCs w:val="20"/>
        </w:rPr>
      </w:pPr>
      <w:proofErr w:type="gramStart"/>
      <w:r w:rsidRPr="00DC3D7D">
        <w:rPr>
          <w:rFonts w:ascii="Times New Roman" w:hAnsi="Times New Roman" w:cs="Times New Roman"/>
          <w:sz w:val="20"/>
          <w:szCs w:val="20"/>
        </w:rPr>
        <w:t>Figure 1.</w:t>
      </w:r>
      <w:proofErr w:type="gramEnd"/>
      <w:r w:rsidRPr="00DC3D7D">
        <w:rPr>
          <w:rFonts w:ascii="Times New Roman" w:hAnsi="Times New Roman" w:cs="Times New Roman"/>
          <w:sz w:val="20"/>
          <w:szCs w:val="20"/>
        </w:rPr>
        <w:t xml:space="preserve"> Pathogenesis and Associated Biomarkers of Human </w:t>
      </w:r>
      <w:proofErr w:type="spellStart"/>
      <w:r w:rsidRPr="00DC3D7D">
        <w:rPr>
          <w:rFonts w:ascii="Times New Roman" w:hAnsi="Times New Roman" w:cs="Times New Roman"/>
          <w:sz w:val="20"/>
          <w:szCs w:val="20"/>
        </w:rPr>
        <w:t>Periodontitis</w:t>
      </w:r>
      <w:proofErr w:type="spellEnd"/>
    </w:p>
    <w:p w:rsidR="00A50341" w:rsidRPr="00DC3D7D" w:rsidRDefault="00A50341" w:rsidP="00DC3D7D">
      <w:pPr>
        <w:pStyle w:val="Default"/>
        <w:spacing w:line="360" w:lineRule="auto"/>
        <w:jc w:val="both"/>
        <w:rPr>
          <w:rFonts w:ascii="Times New Roman" w:hAnsi="Times New Roman" w:cs="Times New Roman"/>
          <w:sz w:val="20"/>
          <w:szCs w:val="20"/>
        </w:rPr>
      </w:pPr>
      <w:proofErr w:type="gramStart"/>
      <w:r w:rsidRPr="00DC3D7D">
        <w:rPr>
          <w:rFonts w:ascii="Times New Roman" w:hAnsi="Times New Roman" w:cs="Times New Roman"/>
          <w:sz w:val="20"/>
          <w:szCs w:val="20"/>
        </w:rPr>
        <w:t xml:space="preserve">(A) Physiological structure and (B) schematic of the response of activated immune cells [e.g., </w:t>
      </w:r>
      <w:proofErr w:type="spellStart"/>
      <w:r w:rsidRPr="00DC3D7D">
        <w:rPr>
          <w:rFonts w:ascii="Times New Roman" w:hAnsi="Times New Roman" w:cs="Times New Roman"/>
          <w:sz w:val="20"/>
          <w:szCs w:val="20"/>
        </w:rPr>
        <w:t>Polymorphonuclear</w:t>
      </w:r>
      <w:proofErr w:type="spellEnd"/>
      <w:r w:rsidRPr="00DC3D7D">
        <w:rPr>
          <w:rFonts w:ascii="Times New Roman" w:hAnsi="Times New Roman" w:cs="Times New Roman"/>
          <w:sz w:val="20"/>
          <w:szCs w:val="20"/>
        </w:rPr>
        <w:t xml:space="preserve"> leukocytes (PMNs), </w:t>
      </w:r>
      <w:proofErr w:type="spellStart"/>
      <w:r w:rsidRPr="00DC3D7D">
        <w:rPr>
          <w:rFonts w:ascii="Times New Roman" w:hAnsi="Times New Roman" w:cs="Times New Roman"/>
          <w:sz w:val="20"/>
          <w:szCs w:val="20"/>
        </w:rPr>
        <w:t>monocytes</w:t>
      </w:r>
      <w:proofErr w:type="spellEnd"/>
      <w:r w:rsidRPr="00DC3D7D">
        <w:rPr>
          <w:rFonts w:ascii="Times New Roman" w:hAnsi="Times New Roman" w:cs="Times New Roman"/>
          <w:sz w:val="20"/>
          <w:szCs w:val="20"/>
        </w:rPr>
        <w:t xml:space="preserve"> macrophages, fibroblasts, etc.] to periodontal pathogens and released </w:t>
      </w:r>
      <w:proofErr w:type="spellStart"/>
      <w:r w:rsidRPr="00DC3D7D">
        <w:rPr>
          <w:rFonts w:ascii="Times New Roman" w:hAnsi="Times New Roman" w:cs="Times New Roman"/>
          <w:sz w:val="20"/>
          <w:szCs w:val="20"/>
        </w:rPr>
        <w:t>proinflammatory</w:t>
      </w:r>
      <w:proofErr w:type="spellEnd"/>
      <w:r w:rsidRPr="00DC3D7D">
        <w:rPr>
          <w:rFonts w:ascii="Times New Roman" w:hAnsi="Times New Roman" w:cs="Times New Roman"/>
          <w:sz w:val="20"/>
          <w:szCs w:val="20"/>
        </w:rPr>
        <w:t xml:space="preserve"> cytokines and proteases (e.g., IL-1b, TNF-a, MMPs).</w:t>
      </w:r>
      <w:proofErr w:type="gramEnd"/>
    </w:p>
    <w:p w:rsidR="00A50341" w:rsidRPr="00DC3D7D" w:rsidRDefault="00A50341" w:rsidP="00DC3D7D">
      <w:pPr>
        <w:spacing w:after="0" w:line="360" w:lineRule="auto"/>
        <w:rPr>
          <w:rFonts w:ascii="Times New Roman" w:hAnsi="Times New Roman" w:cs="Times New Roman"/>
          <w:sz w:val="20"/>
          <w:szCs w:val="20"/>
        </w:rPr>
      </w:pPr>
    </w:p>
    <w:p w:rsidR="00A50341" w:rsidRPr="00DC3D7D" w:rsidRDefault="00A50341" w:rsidP="00DC3D7D">
      <w:pPr>
        <w:spacing w:after="0" w:line="360" w:lineRule="auto"/>
        <w:rPr>
          <w:rFonts w:ascii="Times New Roman" w:hAnsi="Times New Roman" w:cs="Times New Roman"/>
          <w:sz w:val="20"/>
          <w:szCs w:val="20"/>
        </w:rPr>
      </w:pPr>
    </w:p>
    <w:p w:rsidR="00A50341" w:rsidRPr="00DC3D7D" w:rsidRDefault="00A50341" w:rsidP="00DC3D7D">
      <w:pPr>
        <w:spacing w:after="0" w:line="360" w:lineRule="auto"/>
        <w:rPr>
          <w:rFonts w:ascii="Times New Roman" w:hAnsi="Times New Roman" w:cs="Times New Roman"/>
          <w:sz w:val="20"/>
          <w:szCs w:val="20"/>
        </w:rPr>
      </w:pPr>
      <w:r w:rsidRPr="00DC3D7D">
        <w:rPr>
          <w:rFonts w:ascii="Times New Roman" w:eastAsia="MinionPro-Regular" w:hAnsi="Times New Roman" w:cs="Times New Roman"/>
          <w:noProof/>
          <w:color w:val="31849B" w:themeColor="accent5" w:themeShade="BF"/>
          <w:sz w:val="20"/>
          <w:szCs w:val="20"/>
          <w:lang w:val="en-US"/>
        </w:rPr>
        <w:drawing>
          <wp:inline distT="0" distB="0" distL="0" distR="0">
            <wp:extent cx="2587558" cy="1667636"/>
            <wp:effectExtent l="19050" t="19050" r="22860" b="27940"/>
            <wp:docPr id="6" name="Picture 2" descr="C:\Users\user\Desktop\review article\2-sondaggio-patologico-parodontogia-napoli-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eview article\2-sondaggio-patologico-parodontogia-napoli-300x199.jpg"/>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92" cy="1678743"/>
                    </a:xfrm>
                    <a:prstGeom prst="rect">
                      <a:avLst/>
                    </a:prstGeom>
                    <a:noFill/>
                    <a:ln>
                      <a:solidFill>
                        <a:schemeClr val="tx1"/>
                      </a:solidFill>
                    </a:ln>
                  </pic:spPr>
                </pic:pic>
              </a:graphicData>
            </a:graphic>
          </wp:inline>
        </w:drawing>
      </w:r>
      <w:r w:rsidRPr="00DC3D7D">
        <w:rPr>
          <w:rFonts w:ascii="Times New Roman" w:hAnsi="Times New Roman" w:cs="Times New Roman"/>
          <w:sz w:val="20"/>
          <w:szCs w:val="20"/>
        </w:rPr>
        <w:t xml:space="preserve"> </w:t>
      </w:r>
      <w:r w:rsidRPr="00DC3D7D">
        <w:rPr>
          <w:rFonts w:ascii="Times New Roman" w:eastAsia="MinionPro-Regular" w:hAnsi="Times New Roman" w:cs="Times New Roman"/>
          <w:noProof/>
          <w:color w:val="31849B" w:themeColor="accent5" w:themeShade="BF"/>
          <w:sz w:val="20"/>
          <w:szCs w:val="20"/>
          <w:lang w:val="en-US"/>
        </w:rPr>
        <w:drawing>
          <wp:inline distT="0" distB="0" distL="0" distR="0">
            <wp:extent cx="2782111" cy="1682884"/>
            <wp:effectExtent l="19050" t="19050" r="18415" b="12700"/>
            <wp:docPr id="7" name="Picture 3" descr="C:\Users\user\Desktop\review article\MedJDYPatilUniv_2015_8_5_625_160981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view article\MedJDYPatilUniv_2015_8_5_625_160981_f2.jpg"/>
                    <pic:cNvPicPr>
                      <a:picLocks noChangeAspect="1" noChangeArrowheads="1"/>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1" r="4053" b="13521"/>
                    <a:stretch/>
                  </pic:blipFill>
                  <pic:spPr bwMode="auto">
                    <a:xfrm>
                      <a:off x="0" y="0"/>
                      <a:ext cx="2787295" cy="168601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341" w:rsidRPr="00DC3D7D" w:rsidRDefault="00A50341" w:rsidP="00DC3D7D">
      <w:pPr>
        <w:spacing w:after="0" w:line="360" w:lineRule="auto"/>
        <w:rPr>
          <w:rFonts w:ascii="Times New Roman" w:hAnsi="Times New Roman" w:cs="Times New Roman"/>
          <w:sz w:val="20"/>
          <w:szCs w:val="20"/>
        </w:rPr>
      </w:pPr>
      <w:r w:rsidRPr="00DC3D7D">
        <w:rPr>
          <w:rFonts w:ascii="Times New Roman" w:hAnsi="Times New Roman" w:cs="Times New Roman"/>
          <w:sz w:val="20"/>
          <w:szCs w:val="20"/>
        </w:rPr>
        <w:t>Figure 2: Traditional methods of periodontal examination</w:t>
      </w:r>
    </w:p>
    <w:p w:rsidR="00A50341" w:rsidRPr="00DC3D7D" w:rsidRDefault="00A50341" w:rsidP="00DC3D7D">
      <w:pPr>
        <w:spacing w:after="0" w:line="360" w:lineRule="auto"/>
        <w:rPr>
          <w:rFonts w:ascii="Times New Roman" w:hAnsi="Times New Roman" w:cs="Times New Roman"/>
          <w:sz w:val="20"/>
          <w:szCs w:val="20"/>
        </w:rPr>
      </w:pPr>
    </w:p>
    <w:p w:rsidR="00A50341" w:rsidRPr="00DC3D7D" w:rsidRDefault="00A50341" w:rsidP="00DC3D7D">
      <w:pPr>
        <w:spacing w:after="0" w:line="360" w:lineRule="auto"/>
        <w:rPr>
          <w:rFonts w:ascii="Times New Roman" w:hAnsi="Times New Roman" w:cs="Times New Roman"/>
          <w:sz w:val="20"/>
          <w:szCs w:val="20"/>
        </w:rPr>
      </w:pPr>
      <w:r w:rsidRPr="00DC3D7D">
        <w:rPr>
          <w:rFonts w:ascii="Times New Roman" w:hAnsi="Times New Roman" w:cs="Times New Roman"/>
          <w:noProof/>
          <w:sz w:val="20"/>
          <w:szCs w:val="20"/>
          <w:lang w:val="en-US"/>
        </w:rPr>
        <w:lastRenderedPageBreak/>
        <w:drawing>
          <wp:inline distT="0" distB="0" distL="0" distR="0">
            <wp:extent cx="5731510" cy="3016885"/>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016885"/>
                    </a:xfrm>
                    <a:prstGeom prst="rect">
                      <a:avLst/>
                    </a:prstGeom>
                    <a:noFill/>
                    <a:ln>
                      <a:noFill/>
                    </a:ln>
                  </pic:spPr>
                </pic:pic>
              </a:graphicData>
            </a:graphic>
          </wp:inline>
        </w:drawing>
      </w:r>
    </w:p>
    <w:p w:rsidR="00A50341" w:rsidRPr="00DC3D7D" w:rsidRDefault="00A50341" w:rsidP="00DC3D7D">
      <w:pPr>
        <w:autoSpaceDE w:val="0"/>
        <w:autoSpaceDN w:val="0"/>
        <w:adjustRightInd w:val="0"/>
        <w:spacing w:after="0" w:line="360" w:lineRule="auto"/>
        <w:jc w:val="both"/>
        <w:rPr>
          <w:rFonts w:ascii="Times New Roman" w:hAnsi="Times New Roman" w:cs="Times New Roman"/>
          <w:sz w:val="20"/>
          <w:szCs w:val="20"/>
        </w:rPr>
      </w:pPr>
    </w:p>
    <w:p w:rsidR="00A50341" w:rsidRPr="00DC3D7D" w:rsidRDefault="00A50341" w:rsidP="00DC3D7D">
      <w:pPr>
        <w:autoSpaceDE w:val="0"/>
        <w:autoSpaceDN w:val="0"/>
        <w:adjustRightInd w:val="0"/>
        <w:spacing w:after="0" w:line="360" w:lineRule="auto"/>
        <w:jc w:val="both"/>
        <w:rPr>
          <w:rFonts w:ascii="Times New Roman" w:hAnsi="Times New Roman" w:cs="Times New Roman"/>
          <w:sz w:val="20"/>
          <w:szCs w:val="20"/>
        </w:rPr>
      </w:pPr>
      <w:proofErr w:type="gramStart"/>
      <w:r w:rsidRPr="00DC3D7D">
        <w:rPr>
          <w:rFonts w:ascii="Times New Roman" w:hAnsi="Times New Roman" w:cs="Times New Roman"/>
          <w:sz w:val="20"/>
          <w:szCs w:val="20"/>
        </w:rPr>
        <w:t>Figure 3.</w:t>
      </w:r>
      <w:proofErr w:type="gramEnd"/>
      <w:r w:rsidRPr="00DC3D7D">
        <w:rPr>
          <w:rFonts w:ascii="Times New Roman" w:hAnsi="Times New Roman" w:cs="Times New Roman"/>
          <w:sz w:val="20"/>
          <w:szCs w:val="20"/>
        </w:rPr>
        <w:t xml:space="preserve"> A Roadmap of the Developing History of </w:t>
      </w:r>
      <w:proofErr w:type="spellStart"/>
      <w:r w:rsidRPr="00DC3D7D">
        <w:rPr>
          <w:rFonts w:ascii="Times New Roman" w:hAnsi="Times New Roman" w:cs="Times New Roman"/>
          <w:sz w:val="20"/>
          <w:szCs w:val="20"/>
        </w:rPr>
        <w:t>Periodontitis</w:t>
      </w:r>
      <w:proofErr w:type="spellEnd"/>
      <w:r w:rsidRPr="00DC3D7D">
        <w:rPr>
          <w:rFonts w:ascii="Times New Roman" w:hAnsi="Times New Roman" w:cs="Times New Roman"/>
          <w:sz w:val="20"/>
          <w:szCs w:val="20"/>
        </w:rPr>
        <w:t xml:space="preserve"> Diagnostics and Future Perspectives for POCT Strategies.</w:t>
      </w:r>
      <w:r w:rsidRPr="00DC3D7D">
        <w:rPr>
          <w:rFonts w:ascii="Times New Roman" w:hAnsi="Times New Roman" w:cs="Times New Roman"/>
          <w:sz w:val="20"/>
          <w:szCs w:val="20"/>
          <w:vertAlign w:val="superscript"/>
        </w:rPr>
        <w:t>23</w:t>
      </w:r>
      <w:r w:rsidRPr="00DC3D7D">
        <w:rPr>
          <w:rFonts w:ascii="Times New Roman" w:hAnsi="Times New Roman" w:cs="Times New Roman"/>
          <w:sz w:val="20"/>
          <w:szCs w:val="20"/>
        </w:rPr>
        <w:t xml:space="preserve"> Traditional clinical diagnostic methods (e.g., probing and radiography systems) are the basis of </w:t>
      </w:r>
      <w:proofErr w:type="spellStart"/>
      <w:r w:rsidRPr="00DC3D7D">
        <w:rPr>
          <w:rFonts w:ascii="Times New Roman" w:hAnsi="Times New Roman" w:cs="Times New Roman"/>
          <w:sz w:val="20"/>
          <w:szCs w:val="20"/>
        </w:rPr>
        <w:t>periodontitis</w:t>
      </w:r>
      <w:proofErr w:type="spellEnd"/>
      <w:r w:rsidRPr="00DC3D7D">
        <w:rPr>
          <w:rFonts w:ascii="Times New Roman" w:hAnsi="Times New Roman" w:cs="Times New Roman"/>
          <w:sz w:val="20"/>
          <w:szCs w:val="20"/>
        </w:rPr>
        <w:t xml:space="preserve"> diagnostics, and these first appeared in the 1980s.POCT platforms (e.g., </w:t>
      </w:r>
      <w:proofErr w:type="spellStart"/>
      <w:r w:rsidRPr="00DC3D7D">
        <w:rPr>
          <w:rFonts w:ascii="Times New Roman" w:hAnsi="Times New Roman" w:cs="Times New Roman"/>
          <w:sz w:val="20"/>
          <w:szCs w:val="20"/>
        </w:rPr>
        <w:t>chairside</w:t>
      </w:r>
      <w:proofErr w:type="spellEnd"/>
      <w:r w:rsidRPr="00DC3D7D">
        <w:rPr>
          <w:rFonts w:ascii="Times New Roman" w:hAnsi="Times New Roman" w:cs="Times New Roman"/>
          <w:sz w:val="20"/>
          <w:szCs w:val="20"/>
        </w:rPr>
        <w:t xml:space="preserve"> system and test kit, LOC, and paper-based devices) arose in the 1990s and are now beginning to be used in the clinic. Integrated POCT systems (including POCT platform, </w:t>
      </w:r>
      <w:proofErr w:type="spellStart"/>
      <w:r w:rsidRPr="00DC3D7D">
        <w:rPr>
          <w:rFonts w:ascii="Times New Roman" w:hAnsi="Times New Roman" w:cs="Times New Roman"/>
          <w:sz w:val="20"/>
          <w:szCs w:val="20"/>
        </w:rPr>
        <w:t>smartphone</w:t>
      </w:r>
      <w:proofErr w:type="spellEnd"/>
      <w:r w:rsidRPr="00DC3D7D">
        <w:rPr>
          <w:rFonts w:ascii="Times New Roman" w:hAnsi="Times New Roman" w:cs="Times New Roman"/>
          <w:sz w:val="20"/>
          <w:szCs w:val="20"/>
        </w:rPr>
        <w:t xml:space="preserve"> readout, and big-data analysis) are envisaged as a routine way to efficiently and accurately diagnose </w:t>
      </w:r>
      <w:proofErr w:type="spellStart"/>
      <w:r w:rsidRPr="00DC3D7D">
        <w:rPr>
          <w:rFonts w:ascii="Times New Roman" w:hAnsi="Times New Roman" w:cs="Times New Roman"/>
          <w:sz w:val="20"/>
          <w:szCs w:val="20"/>
        </w:rPr>
        <w:t>periodontitis</w:t>
      </w:r>
      <w:proofErr w:type="spellEnd"/>
      <w:r w:rsidRPr="00DC3D7D">
        <w:rPr>
          <w:rFonts w:ascii="Times New Roman" w:hAnsi="Times New Roman" w:cs="Times New Roman"/>
          <w:sz w:val="20"/>
          <w:szCs w:val="20"/>
        </w:rPr>
        <w:t xml:space="preserve"> in the future. Abbreviations: CBCT, cone beam computer tomography; LOC, lab-on-a-chip; POCT, point-of-care testing.</w:t>
      </w:r>
    </w:p>
    <w:p w:rsidR="00852C75" w:rsidRPr="005302A0" w:rsidRDefault="00852C75" w:rsidP="00852C75">
      <w:pPr>
        <w:pStyle w:val="NormalWeb"/>
        <w:shd w:val="clear" w:color="auto" w:fill="FFFFFF"/>
        <w:spacing w:before="300" w:beforeAutospacing="0" w:after="225" w:afterAutospacing="0" w:line="285" w:lineRule="atLeast"/>
        <w:ind w:right="225"/>
        <w:rPr>
          <w:b/>
          <w:color w:val="000000"/>
        </w:rPr>
      </w:pPr>
      <w:r w:rsidRPr="005302A0">
        <w:rPr>
          <w:b/>
          <w:color w:val="000000"/>
        </w:rPr>
        <w:t>References:</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proofErr w:type="spellStart"/>
      <w:r w:rsidRPr="00852C75">
        <w:rPr>
          <w:rFonts w:ascii="Times New Roman" w:hAnsi="Times New Roman" w:cs="Times New Roman"/>
          <w:sz w:val="18"/>
          <w:szCs w:val="18"/>
        </w:rPr>
        <w:t>Armitage</w:t>
      </w:r>
      <w:proofErr w:type="spellEnd"/>
      <w:r w:rsidRPr="00852C75">
        <w:rPr>
          <w:rFonts w:ascii="Times New Roman" w:hAnsi="Times New Roman" w:cs="Times New Roman"/>
          <w:sz w:val="18"/>
          <w:szCs w:val="18"/>
        </w:rPr>
        <w:t xml:space="preserve"> GC; Research, Science and Therapy Committee of the American Academy of </w:t>
      </w:r>
      <w:proofErr w:type="spellStart"/>
      <w:r w:rsidRPr="00852C75">
        <w:rPr>
          <w:rFonts w:ascii="Times New Roman" w:hAnsi="Times New Roman" w:cs="Times New Roman"/>
          <w:sz w:val="18"/>
          <w:szCs w:val="18"/>
        </w:rPr>
        <w:t>Periodontology</w:t>
      </w:r>
      <w:proofErr w:type="spellEnd"/>
      <w:r w:rsidRPr="00852C75">
        <w:rPr>
          <w:rFonts w:ascii="Times New Roman" w:hAnsi="Times New Roman" w:cs="Times New Roman"/>
          <w:sz w:val="18"/>
          <w:szCs w:val="18"/>
        </w:rPr>
        <w:t xml:space="preserve">. Diagnosis of periodontal diseases. </w:t>
      </w:r>
      <w:r w:rsidRPr="00852C75">
        <w:rPr>
          <w:rFonts w:ascii="Times New Roman" w:hAnsi="Times New Roman" w:cs="Times New Roman"/>
          <w:i/>
          <w:iCs/>
          <w:sz w:val="18"/>
          <w:szCs w:val="18"/>
        </w:rPr>
        <w:t xml:space="preserve">J </w:t>
      </w:r>
      <w:proofErr w:type="spellStart"/>
      <w:r w:rsidRPr="00852C75">
        <w:rPr>
          <w:rFonts w:ascii="Times New Roman" w:hAnsi="Times New Roman" w:cs="Times New Roman"/>
          <w:i/>
          <w:iCs/>
          <w:sz w:val="18"/>
          <w:szCs w:val="18"/>
        </w:rPr>
        <w:t>Periodontol</w:t>
      </w:r>
      <w:proofErr w:type="spellEnd"/>
      <w:r w:rsidRPr="00852C75">
        <w:rPr>
          <w:rFonts w:ascii="Times New Roman" w:hAnsi="Times New Roman" w:cs="Times New Roman"/>
          <w:i/>
          <w:iCs/>
          <w:sz w:val="18"/>
          <w:szCs w:val="18"/>
        </w:rPr>
        <w:t xml:space="preserve"> </w:t>
      </w:r>
      <w:r w:rsidRPr="00852C75">
        <w:rPr>
          <w:rFonts w:ascii="Times New Roman" w:hAnsi="Times New Roman" w:cs="Times New Roman"/>
          <w:sz w:val="18"/>
          <w:szCs w:val="18"/>
        </w:rPr>
        <w:t xml:space="preserve">2003; 74(8):1237–47. Review. Erratum in: </w:t>
      </w:r>
      <w:r w:rsidRPr="00852C75">
        <w:rPr>
          <w:rFonts w:ascii="Times New Roman" w:hAnsi="Times New Roman" w:cs="Times New Roman"/>
          <w:i/>
          <w:iCs/>
          <w:sz w:val="18"/>
          <w:szCs w:val="18"/>
        </w:rPr>
        <w:t xml:space="preserve">J </w:t>
      </w:r>
      <w:proofErr w:type="spellStart"/>
      <w:r w:rsidRPr="00852C75">
        <w:rPr>
          <w:rFonts w:ascii="Times New Roman" w:hAnsi="Times New Roman" w:cs="Times New Roman"/>
          <w:i/>
          <w:iCs/>
          <w:sz w:val="18"/>
          <w:szCs w:val="18"/>
        </w:rPr>
        <w:t>Periodontol</w:t>
      </w:r>
      <w:proofErr w:type="spellEnd"/>
      <w:r w:rsidRPr="00852C75">
        <w:rPr>
          <w:rFonts w:ascii="Times New Roman" w:hAnsi="Times New Roman" w:cs="Times New Roman"/>
          <w:i/>
          <w:iCs/>
          <w:sz w:val="18"/>
          <w:szCs w:val="18"/>
        </w:rPr>
        <w:t xml:space="preserve"> </w:t>
      </w:r>
      <w:r w:rsidRPr="00852C75">
        <w:rPr>
          <w:rFonts w:ascii="Times New Roman" w:hAnsi="Times New Roman" w:cs="Times New Roman"/>
          <w:sz w:val="18"/>
          <w:szCs w:val="18"/>
        </w:rPr>
        <w:t>2004; 75(5):779</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proofErr w:type="spellStart"/>
      <w:r w:rsidRPr="00852C75">
        <w:rPr>
          <w:rFonts w:ascii="Times New Roman" w:hAnsi="Times New Roman" w:cs="Times New Roman"/>
          <w:sz w:val="18"/>
          <w:szCs w:val="18"/>
        </w:rPr>
        <w:t>Armitage</w:t>
      </w:r>
      <w:proofErr w:type="spellEnd"/>
      <w:r w:rsidRPr="00852C75">
        <w:rPr>
          <w:rFonts w:ascii="Times New Roman" w:hAnsi="Times New Roman" w:cs="Times New Roman"/>
          <w:sz w:val="18"/>
          <w:szCs w:val="18"/>
        </w:rPr>
        <w:t xml:space="preserve"> GC. Classifying periodontal diseases — a long-standing dilemma. </w:t>
      </w:r>
      <w:proofErr w:type="spellStart"/>
      <w:r w:rsidRPr="00852C75">
        <w:rPr>
          <w:rFonts w:ascii="Times New Roman" w:hAnsi="Times New Roman" w:cs="Times New Roman"/>
          <w:i/>
          <w:iCs/>
          <w:sz w:val="18"/>
          <w:szCs w:val="18"/>
        </w:rPr>
        <w:t>Periodontol</w:t>
      </w:r>
      <w:proofErr w:type="spellEnd"/>
      <w:r w:rsidRPr="00852C75">
        <w:rPr>
          <w:rFonts w:ascii="Times New Roman" w:hAnsi="Times New Roman" w:cs="Times New Roman"/>
          <w:i/>
          <w:iCs/>
          <w:sz w:val="18"/>
          <w:szCs w:val="18"/>
        </w:rPr>
        <w:t xml:space="preserve"> 2000 </w:t>
      </w:r>
      <w:r w:rsidRPr="00852C75">
        <w:rPr>
          <w:rFonts w:ascii="Times New Roman" w:hAnsi="Times New Roman" w:cs="Times New Roman"/>
          <w:sz w:val="18"/>
          <w:szCs w:val="18"/>
        </w:rPr>
        <w:t xml:space="preserve">2002; 30:9–23.3. </w:t>
      </w:r>
      <w:proofErr w:type="spellStart"/>
      <w:r w:rsidRPr="00852C75">
        <w:rPr>
          <w:rFonts w:ascii="Times New Roman" w:hAnsi="Times New Roman" w:cs="Times New Roman"/>
          <w:sz w:val="18"/>
          <w:szCs w:val="18"/>
        </w:rPr>
        <w:t>Haffajee</w:t>
      </w:r>
      <w:proofErr w:type="spellEnd"/>
      <w:r w:rsidRPr="00852C75">
        <w:rPr>
          <w:rFonts w:ascii="Times New Roman" w:hAnsi="Times New Roman" w:cs="Times New Roman"/>
          <w:sz w:val="18"/>
          <w:szCs w:val="18"/>
        </w:rPr>
        <w:t xml:space="preserve"> AD, </w:t>
      </w:r>
      <w:proofErr w:type="spellStart"/>
      <w:r w:rsidRPr="00852C75">
        <w:rPr>
          <w:rFonts w:ascii="Times New Roman" w:hAnsi="Times New Roman" w:cs="Times New Roman"/>
          <w:sz w:val="18"/>
          <w:szCs w:val="18"/>
        </w:rPr>
        <w:t>Socransky</w:t>
      </w:r>
      <w:proofErr w:type="spellEnd"/>
      <w:r w:rsidRPr="00852C75">
        <w:rPr>
          <w:rFonts w:ascii="Times New Roman" w:hAnsi="Times New Roman" w:cs="Times New Roman"/>
          <w:sz w:val="18"/>
          <w:szCs w:val="18"/>
        </w:rPr>
        <w:t xml:space="preserve"> SS, Goodson</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r w:rsidRPr="00852C75">
        <w:rPr>
          <w:rFonts w:ascii="Times New Roman" w:hAnsi="Times New Roman" w:cs="Times New Roman"/>
          <w:sz w:val="18"/>
          <w:szCs w:val="18"/>
        </w:rPr>
        <w:t xml:space="preserve">Curtis MA, Gillett IR, Griffiths GS, Maiden MF, Sterne JA, Wilson DT, et al. Detection of high-risk groups and individuals for periodontal diseases: Laboratory markers from analysis of gingival </w:t>
      </w:r>
      <w:proofErr w:type="spellStart"/>
      <w:r w:rsidRPr="00852C75">
        <w:rPr>
          <w:rFonts w:ascii="Times New Roman" w:hAnsi="Times New Roman" w:cs="Times New Roman"/>
          <w:sz w:val="18"/>
          <w:szCs w:val="18"/>
        </w:rPr>
        <w:t>crevicuiar</w:t>
      </w:r>
      <w:proofErr w:type="spellEnd"/>
      <w:r w:rsidRPr="00852C75">
        <w:rPr>
          <w:rFonts w:ascii="Times New Roman" w:hAnsi="Times New Roman" w:cs="Times New Roman"/>
          <w:sz w:val="18"/>
          <w:szCs w:val="18"/>
        </w:rPr>
        <w:t xml:space="preserve"> fluid. J </w:t>
      </w:r>
      <w:proofErr w:type="spellStart"/>
      <w:r w:rsidRPr="00852C75">
        <w:rPr>
          <w:rFonts w:ascii="Times New Roman" w:hAnsi="Times New Roman" w:cs="Times New Roman"/>
          <w:sz w:val="18"/>
          <w:szCs w:val="18"/>
        </w:rPr>
        <w:t>Clin</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Periodontol</w:t>
      </w:r>
      <w:proofErr w:type="spellEnd"/>
      <w:r w:rsidRPr="00852C75">
        <w:rPr>
          <w:rFonts w:ascii="Times New Roman" w:hAnsi="Times New Roman" w:cs="Times New Roman"/>
          <w:sz w:val="18"/>
          <w:szCs w:val="18"/>
        </w:rPr>
        <w:t>. 1989; 16:01-11.</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proofErr w:type="spellStart"/>
      <w:r w:rsidRPr="00852C75">
        <w:rPr>
          <w:rFonts w:ascii="Times New Roman" w:hAnsi="Times New Roman" w:cs="Times New Roman"/>
          <w:sz w:val="18"/>
          <w:szCs w:val="18"/>
        </w:rPr>
        <w:t>Spielmann</w:t>
      </w:r>
      <w:proofErr w:type="spellEnd"/>
      <w:r w:rsidRPr="00852C75">
        <w:rPr>
          <w:rFonts w:ascii="Times New Roman" w:hAnsi="Times New Roman" w:cs="Times New Roman"/>
          <w:sz w:val="18"/>
          <w:szCs w:val="18"/>
        </w:rPr>
        <w:t xml:space="preserve"> N, Wong DT. Saliva: diagnostics and therapeutic perspectives. Oral </w:t>
      </w:r>
      <w:r w:rsidRPr="00852C75">
        <w:rPr>
          <w:rStyle w:val="A8"/>
          <w:rFonts w:ascii="Times New Roman" w:hAnsi="Times New Roman" w:cs="Times New Roman"/>
          <w:sz w:val="18"/>
          <w:szCs w:val="18"/>
        </w:rPr>
        <w:t>[13</w:t>
      </w:r>
      <w:proofErr w:type="gramStart"/>
      <w:r w:rsidRPr="00852C75">
        <w:rPr>
          <w:rStyle w:val="A8"/>
          <w:rFonts w:ascii="Times New Roman" w:hAnsi="Times New Roman" w:cs="Times New Roman"/>
          <w:sz w:val="18"/>
          <w:szCs w:val="18"/>
        </w:rPr>
        <w:t>]</w:t>
      </w:r>
      <w:r w:rsidRPr="00852C75">
        <w:rPr>
          <w:rFonts w:ascii="Times New Roman" w:hAnsi="Times New Roman" w:cs="Times New Roman"/>
          <w:sz w:val="18"/>
          <w:szCs w:val="18"/>
        </w:rPr>
        <w:t>Diseases</w:t>
      </w:r>
      <w:proofErr w:type="gramEnd"/>
      <w:r w:rsidRPr="00852C75">
        <w:rPr>
          <w:rFonts w:ascii="Times New Roman" w:hAnsi="Times New Roman" w:cs="Times New Roman"/>
          <w:sz w:val="18"/>
          <w:szCs w:val="18"/>
        </w:rPr>
        <w:t>. 2011</w:t>
      </w:r>
      <w:proofErr w:type="gramStart"/>
      <w:r w:rsidRPr="00852C75">
        <w:rPr>
          <w:rFonts w:ascii="Times New Roman" w:hAnsi="Times New Roman" w:cs="Times New Roman"/>
          <w:sz w:val="18"/>
          <w:szCs w:val="18"/>
        </w:rPr>
        <w:t>;17:345</w:t>
      </w:r>
      <w:proofErr w:type="gramEnd"/>
      <w:r w:rsidRPr="00852C75">
        <w:rPr>
          <w:rFonts w:ascii="Times New Roman" w:hAnsi="Times New Roman" w:cs="Times New Roman"/>
          <w:sz w:val="18"/>
          <w:szCs w:val="18"/>
        </w:rPr>
        <w:t>–54.</w:t>
      </w:r>
    </w:p>
    <w:p w:rsidR="00852C75" w:rsidRPr="00852C75" w:rsidRDefault="00852C75" w:rsidP="00852C75">
      <w:pPr>
        <w:pStyle w:val="Pa13"/>
        <w:numPr>
          <w:ilvl w:val="0"/>
          <w:numId w:val="11"/>
        </w:numPr>
        <w:spacing w:line="360" w:lineRule="auto"/>
        <w:jc w:val="both"/>
        <w:rPr>
          <w:rFonts w:ascii="Times New Roman" w:hAnsi="Times New Roman" w:cs="Times New Roman"/>
          <w:sz w:val="18"/>
          <w:szCs w:val="18"/>
        </w:rPr>
      </w:pPr>
      <w:r w:rsidRPr="00852C75">
        <w:rPr>
          <w:rFonts w:ascii="Times New Roman" w:hAnsi="Times New Roman" w:cs="Times New Roman"/>
          <w:sz w:val="18"/>
          <w:szCs w:val="18"/>
        </w:rPr>
        <w:t xml:space="preserve">Wei F, Wong DT. Point-of-care platforms for salivary diagnostics. Chinese J Dent </w:t>
      </w:r>
      <w:r w:rsidRPr="00852C75">
        <w:rPr>
          <w:rStyle w:val="A8"/>
          <w:rFonts w:ascii="Times New Roman" w:hAnsi="Times New Roman" w:cs="Times New Roman"/>
          <w:sz w:val="18"/>
          <w:szCs w:val="18"/>
        </w:rPr>
        <w:t>[14</w:t>
      </w:r>
      <w:proofErr w:type="gramStart"/>
      <w:r w:rsidRPr="00852C75">
        <w:rPr>
          <w:rStyle w:val="A8"/>
          <w:rFonts w:ascii="Times New Roman" w:hAnsi="Times New Roman" w:cs="Times New Roman"/>
          <w:sz w:val="18"/>
          <w:szCs w:val="18"/>
        </w:rPr>
        <w:t>]</w:t>
      </w:r>
      <w:r w:rsidRPr="00852C75">
        <w:rPr>
          <w:rFonts w:ascii="Times New Roman" w:hAnsi="Times New Roman" w:cs="Times New Roman"/>
          <w:sz w:val="18"/>
          <w:szCs w:val="18"/>
        </w:rPr>
        <w:t>Res</w:t>
      </w:r>
      <w:proofErr w:type="gramEnd"/>
      <w:r w:rsidRPr="00852C75">
        <w:rPr>
          <w:rFonts w:ascii="Times New Roman" w:hAnsi="Times New Roman" w:cs="Times New Roman"/>
          <w:sz w:val="18"/>
          <w:szCs w:val="18"/>
        </w:rPr>
        <w:t xml:space="preserve">. 2012;15:07-15. </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sz w:val="18"/>
          <w:szCs w:val="18"/>
        </w:rPr>
        <w:t>Cafiero</w:t>
      </w:r>
      <w:proofErr w:type="spellEnd"/>
      <w:r w:rsidRPr="00852C75">
        <w:rPr>
          <w:rFonts w:ascii="Times New Roman" w:hAnsi="Times New Roman" w:cs="Times New Roman"/>
          <w:sz w:val="18"/>
          <w:szCs w:val="18"/>
        </w:rPr>
        <w:t xml:space="preserve"> C and </w:t>
      </w:r>
      <w:proofErr w:type="spellStart"/>
      <w:r w:rsidRPr="00852C75">
        <w:rPr>
          <w:rFonts w:ascii="Times New Roman" w:hAnsi="Times New Roman" w:cs="Times New Roman"/>
          <w:sz w:val="18"/>
          <w:szCs w:val="18"/>
        </w:rPr>
        <w:t>Matarasso</w:t>
      </w:r>
      <w:proofErr w:type="spellEnd"/>
      <w:r w:rsidRPr="00852C75">
        <w:rPr>
          <w:rFonts w:ascii="Times New Roman" w:hAnsi="Times New Roman" w:cs="Times New Roman"/>
          <w:sz w:val="18"/>
          <w:szCs w:val="18"/>
        </w:rPr>
        <w:t xml:space="preserve"> S. Predictive, preventive, personalised and participatory </w:t>
      </w:r>
      <w:r w:rsidRPr="00852C75">
        <w:rPr>
          <w:rStyle w:val="A8"/>
          <w:rFonts w:ascii="Times New Roman" w:hAnsi="Times New Roman" w:cs="Times New Roman"/>
          <w:sz w:val="18"/>
          <w:szCs w:val="18"/>
        </w:rPr>
        <w:t>[15</w:t>
      </w:r>
      <w:proofErr w:type="gramStart"/>
      <w:r w:rsidRPr="00852C75">
        <w:rPr>
          <w:rStyle w:val="A8"/>
          <w:rFonts w:ascii="Times New Roman" w:hAnsi="Times New Roman" w:cs="Times New Roman"/>
          <w:sz w:val="18"/>
          <w:szCs w:val="18"/>
        </w:rPr>
        <w:t>]</w:t>
      </w:r>
      <w:proofErr w:type="spellStart"/>
      <w:r w:rsidRPr="00852C75">
        <w:rPr>
          <w:rFonts w:ascii="Times New Roman" w:hAnsi="Times New Roman" w:cs="Times New Roman"/>
          <w:sz w:val="18"/>
          <w:szCs w:val="18"/>
        </w:rPr>
        <w:t>periodontology</w:t>
      </w:r>
      <w:proofErr w:type="spellEnd"/>
      <w:proofErr w:type="gramEnd"/>
      <w:r w:rsidRPr="00852C75">
        <w:rPr>
          <w:rFonts w:ascii="Times New Roman" w:hAnsi="Times New Roman" w:cs="Times New Roman"/>
          <w:sz w:val="18"/>
          <w:szCs w:val="18"/>
        </w:rPr>
        <w:t>: ‘The 5Ps age’ has already started. The EPMA Journal. 2013, 4:16:01-29.</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proofErr w:type="spellStart"/>
      <w:r w:rsidRPr="00852C75">
        <w:rPr>
          <w:rFonts w:ascii="Times New Roman" w:hAnsi="Times New Roman" w:cs="Times New Roman"/>
          <w:sz w:val="18"/>
          <w:szCs w:val="18"/>
        </w:rPr>
        <w:t>Priyanka</w:t>
      </w:r>
      <w:proofErr w:type="spellEnd"/>
      <w:r w:rsidRPr="00852C75">
        <w:rPr>
          <w:rFonts w:ascii="Times New Roman" w:hAnsi="Times New Roman" w:cs="Times New Roman"/>
          <w:sz w:val="18"/>
          <w:szCs w:val="18"/>
        </w:rPr>
        <w:t xml:space="preserve"> N, </w:t>
      </w:r>
      <w:proofErr w:type="spellStart"/>
      <w:r w:rsidRPr="00852C75">
        <w:rPr>
          <w:rFonts w:ascii="Times New Roman" w:hAnsi="Times New Roman" w:cs="Times New Roman"/>
          <w:sz w:val="18"/>
          <w:szCs w:val="18"/>
        </w:rPr>
        <w:t>Kalra</w:t>
      </w:r>
      <w:proofErr w:type="spellEnd"/>
      <w:r w:rsidRPr="00852C75">
        <w:rPr>
          <w:rFonts w:ascii="Times New Roman" w:hAnsi="Times New Roman" w:cs="Times New Roman"/>
          <w:sz w:val="18"/>
          <w:szCs w:val="18"/>
        </w:rPr>
        <w:t xml:space="preserve"> N, </w:t>
      </w:r>
      <w:proofErr w:type="spellStart"/>
      <w:r w:rsidRPr="00852C75">
        <w:rPr>
          <w:rFonts w:ascii="Times New Roman" w:hAnsi="Times New Roman" w:cs="Times New Roman"/>
          <w:sz w:val="18"/>
          <w:szCs w:val="18"/>
        </w:rPr>
        <w:t>Shanbhag</w:t>
      </w:r>
      <w:proofErr w:type="spellEnd"/>
      <w:r w:rsidRPr="00852C75">
        <w:rPr>
          <w:rFonts w:ascii="Times New Roman" w:hAnsi="Times New Roman" w:cs="Times New Roman"/>
          <w:sz w:val="18"/>
          <w:szCs w:val="18"/>
        </w:rPr>
        <w:t xml:space="preserve"> N, Kumar K, </w:t>
      </w:r>
      <w:proofErr w:type="spellStart"/>
      <w:r w:rsidRPr="00852C75">
        <w:rPr>
          <w:rFonts w:ascii="Times New Roman" w:hAnsi="Times New Roman" w:cs="Times New Roman"/>
          <w:sz w:val="18"/>
          <w:szCs w:val="18"/>
        </w:rPr>
        <w:t>Seema</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Brijet</w:t>
      </w:r>
      <w:proofErr w:type="spellEnd"/>
      <w:r w:rsidRPr="00852C75">
        <w:rPr>
          <w:rFonts w:ascii="Times New Roman" w:hAnsi="Times New Roman" w:cs="Times New Roman"/>
          <w:sz w:val="18"/>
          <w:szCs w:val="18"/>
        </w:rPr>
        <w:t xml:space="preserve"> B, et al. Recent approaches in saliva as a credible periodontal diagnostic and prognostic marker. AOSR. 2012</w:t>
      </w:r>
      <w:proofErr w:type="gramStart"/>
      <w:r w:rsidRPr="00852C75">
        <w:rPr>
          <w:rFonts w:ascii="Times New Roman" w:hAnsi="Times New Roman" w:cs="Times New Roman"/>
          <w:sz w:val="18"/>
          <w:szCs w:val="18"/>
        </w:rPr>
        <w:t>;2:40</w:t>
      </w:r>
      <w:proofErr w:type="gramEnd"/>
      <w:r w:rsidRPr="00852C75">
        <w:rPr>
          <w:rFonts w:ascii="Times New Roman" w:hAnsi="Times New Roman" w:cs="Times New Roman"/>
          <w:sz w:val="18"/>
          <w:szCs w:val="18"/>
        </w:rPr>
        <w:t>-46.</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r w:rsidRPr="00852C75">
        <w:rPr>
          <w:rFonts w:ascii="Times New Roman" w:hAnsi="Times New Roman" w:cs="Times New Roman"/>
          <w:sz w:val="18"/>
          <w:szCs w:val="18"/>
        </w:rPr>
        <w:t xml:space="preserve">Miller SM. Saliva testing: A non-traditional diagnostic tool. </w:t>
      </w:r>
      <w:proofErr w:type="spellStart"/>
      <w:r w:rsidRPr="00852C75">
        <w:rPr>
          <w:rFonts w:ascii="Times New Roman" w:hAnsi="Times New Roman" w:cs="Times New Roman"/>
          <w:sz w:val="18"/>
          <w:szCs w:val="18"/>
        </w:rPr>
        <w:t>Clin</w:t>
      </w:r>
      <w:proofErr w:type="spellEnd"/>
      <w:r w:rsidRPr="00852C75">
        <w:rPr>
          <w:rFonts w:ascii="Times New Roman" w:hAnsi="Times New Roman" w:cs="Times New Roman"/>
          <w:sz w:val="18"/>
          <w:szCs w:val="18"/>
        </w:rPr>
        <w:t xml:space="preserve"> Lab Sci. 1994</w:t>
      </w:r>
      <w:proofErr w:type="gramStart"/>
      <w:r w:rsidRPr="00852C75">
        <w:rPr>
          <w:rFonts w:ascii="Times New Roman" w:hAnsi="Times New Roman" w:cs="Times New Roman"/>
          <w:sz w:val="18"/>
          <w:szCs w:val="18"/>
        </w:rPr>
        <w:t>;7:3944</w:t>
      </w:r>
      <w:proofErr w:type="gramEnd"/>
      <w:r w:rsidRPr="00852C75">
        <w:rPr>
          <w:rFonts w:ascii="Times New Roman" w:hAnsi="Times New Roman" w:cs="Times New Roman"/>
          <w:sz w:val="18"/>
          <w:szCs w:val="18"/>
        </w:rPr>
        <w:t>.</w:t>
      </w:r>
    </w:p>
    <w:p w:rsidR="00852C75" w:rsidRPr="00852C75" w:rsidRDefault="00852C75" w:rsidP="00852C75">
      <w:pPr>
        <w:pStyle w:val="Pa6"/>
        <w:numPr>
          <w:ilvl w:val="0"/>
          <w:numId w:val="11"/>
        </w:numPr>
        <w:spacing w:line="360" w:lineRule="auto"/>
        <w:jc w:val="both"/>
        <w:rPr>
          <w:rFonts w:ascii="Times New Roman" w:hAnsi="Times New Roman" w:cs="Times New Roman"/>
          <w:sz w:val="18"/>
          <w:szCs w:val="18"/>
        </w:rPr>
      </w:pPr>
      <w:proofErr w:type="spellStart"/>
      <w:r w:rsidRPr="00852C75">
        <w:rPr>
          <w:rFonts w:ascii="Times New Roman" w:hAnsi="Times New Roman" w:cs="Times New Roman"/>
          <w:sz w:val="18"/>
          <w:szCs w:val="18"/>
        </w:rPr>
        <w:t>Chapple</w:t>
      </w:r>
      <w:proofErr w:type="spellEnd"/>
      <w:r w:rsidRPr="00852C75">
        <w:rPr>
          <w:rFonts w:ascii="Times New Roman" w:hAnsi="Times New Roman" w:cs="Times New Roman"/>
          <w:sz w:val="18"/>
          <w:szCs w:val="18"/>
        </w:rPr>
        <w:t xml:space="preserve"> I. Periodontal diagnosis and treatment -- where does the future lie? </w:t>
      </w:r>
      <w:proofErr w:type="spellStart"/>
      <w:r w:rsidRPr="00852C75">
        <w:rPr>
          <w:rFonts w:ascii="Times New Roman" w:hAnsi="Times New Roman" w:cs="Times New Roman"/>
          <w:sz w:val="18"/>
          <w:szCs w:val="18"/>
        </w:rPr>
        <w:t>Periodontol</w:t>
      </w:r>
      <w:proofErr w:type="spellEnd"/>
      <w:r w:rsidRPr="00852C75">
        <w:rPr>
          <w:rFonts w:ascii="Times New Roman" w:hAnsi="Times New Roman" w:cs="Times New Roman"/>
          <w:sz w:val="18"/>
          <w:szCs w:val="18"/>
        </w:rPr>
        <w:t xml:space="preserve"> 2000. 2009</w:t>
      </w:r>
      <w:proofErr w:type="gramStart"/>
      <w:r w:rsidRPr="00852C75">
        <w:rPr>
          <w:rFonts w:ascii="Times New Roman" w:hAnsi="Times New Roman" w:cs="Times New Roman"/>
          <w:sz w:val="18"/>
          <w:szCs w:val="18"/>
        </w:rPr>
        <w:t>;51</w:t>
      </w:r>
      <w:proofErr w:type="gramEnd"/>
      <w:r w:rsidRPr="00852C75">
        <w:rPr>
          <w:rFonts w:ascii="Times New Roman" w:hAnsi="Times New Roman" w:cs="Times New Roman"/>
          <w:sz w:val="18"/>
          <w:szCs w:val="18"/>
        </w:rPr>
        <w:t>: 09-24.</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sz w:val="18"/>
          <w:szCs w:val="18"/>
        </w:rPr>
        <w:t>Patil</w:t>
      </w:r>
      <w:proofErr w:type="spellEnd"/>
      <w:r w:rsidRPr="00852C75">
        <w:rPr>
          <w:rFonts w:ascii="Times New Roman" w:hAnsi="Times New Roman" w:cs="Times New Roman"/>
          <w:sz w:val="18"/>
          <w:szCs w:val="18"/>
        </w:rPr>
        <w:t xml:space="preserve"> PB, </w:t>
      </w:r>
      <w:proofErr w:type="spellStart"/>
      <w:r w:rsidRPr="00852C75">
        <w:rPr>
          <w:rFonts w:ascii="Times New Roman" w:hAnsi="Times New Roman" w:cs="Times New Roman"/>
          <w:sz w:val="18"/>
          <w:szCs w:val="18"/>
        </w:rPr>
        <w:t>Patil</w:t>
      </w:r>
      <w:proofErr w:type="spellEnd"/>
      <w:r w:rsidRPr="00852C75">
        <w:rPr>
          <w:rFonts w:ascii="Times New Roman" w:hAnsi="Times New Roman" w:cs="Times New Roman"/>
          <w:sz w:val="18"/>
          <w:szCs w:val="18"/>
        </w:rPr>
        <w:t xml:space="preserve"> BR. Saliva: A diagnostic biomarker of periodontal diseases. J </w:t>
      </w:r>
      <w:proofErr w:type="spellStart"/>
      <w:r w:rsidRPr="00852C75">
        <w:rPr>
          <w:rFonts w:ascii="Times New Roman" w:hAnsi="Times New Roman" w:cs="Times New Roman"/>
          <w:sz w:val="18"/>
          <w:szCs w:val="18"/>
        </w:rPr>
        <w:t>Ind</w:t>
      </w:r>
      <w:proofErr w:type="spellEnd"/>
      <w:r w:rsidRPr="00852C75">
        <w:rPr>
          <w:rFonts w:ascii="Times New Roman" w:hAnsi="Times New Roman" w:cs="Times New Roman"/>
          <w:sz w:val="18"/>
          <w:szCs w:val="18"/>
        </w:rPr>
        <w:t xml:space="preserve"> </w:t>
      </w:r>
      <w:r w:rsidRPr="00852C75">
        <w:rPr>
          <w:rStyle w:val="A8"/>
          <w:rFonts w:ascii="Times New Roman" w:hAnsi="Times New Roman" w:cs="Times New Roman"/>
          <w:sz w:val="18"/>
          <w:szCs w:val="18"/>
        </w:rPr>
        <w:t xml:space="preserve">[25] </w:t>
      </w:r>
      <w:r w:rsidRPr="00852C75">
        <w:rPr>
          <w:rFonts w:ascii="Times New Roman" w:hAnsi="Times New Roman" w:cs="Times New Roman"/>
          <w:sz w:val="18"/>
          <w:szCs w:val="18"/>
        </w:rPr>
        <w:t xml:space="preserve">Soc </w:t>
      </w:r>
      <w:proofErr w:type="spellStart"/>
      <w:r w:rsidRPr="00852C75">
        <w:rPr>
          <w:rFonts w:ascii="Times New Roman" w:hAnsi="Times New Roman" w:cs="Times New Roman"/>
          <w:sz w:val="18"/>
          <w:szCs w:val="18"/>
        </w:rPr>
        <w:t>Periodontol</w:t>
      </w:r>
      <w:proofErr w:type="spellEnd"/>
      <w:r w:rsidRPr="00852C75">
        <w:rPr>
          <w:rFonts w:ascii="Times New Roman" w:hAnsi="Times New Roman" w:cs="Times New Roman"/>
          <w:sz w:val="18"/>
          <w:szCs w:val="18"/>
        </w:rPr>
        <w:t>. 2011</w:t>
      </w:r>
      <w:proofErr w:type="gramStart"/>
      <w:r w:rsidRPr="00852C75">
        <w:rPr>
          <w:rFonts w:ascii="Times New Roman" w:hAnsi="Times New Roman" w:cs="Times New Roman"/>
          <w:sz w:val="18"/>
          <w:szCs w:val="18"/>
        </w:rPr>
        <w:t>;15:310</w:t>
      </w:r>
      <w:proofErr w:type="gramEnd"/>
      <w:r w:rsidRPr="00852C75">
        <w:rPr>
          <w:rFonts w:ascii="Times New Roman" w:hAnsi="Times New Roman" w:cs="Times New Roman"/>
          <w:sz w:val="18"/>
          <w:szCs w:val="18"/>
        </w:rPr>
        <w:t>-17.</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r w:rsidRPr="00852C75">
        <w:rPr>
          <w:rFonts w:ascii="Times New Roman" w:hAnsi="Times New Roman" w:cs="Times New Roman"/>
          <w:sz w:val="18"/>
          <w:szCs w:val="18"/>
        </w:rPr>
        <w:lastRenderedPageBreak/>
        <w:t xml:space="preserve">Loos BG, </w:t>
      </w:r>
      <w:proofErr w:type="spellStart"/>
      <w:r w:rsidRPr="00852C75">
        <w:rPr>
          <w:rFonts w:ascii="Times New Roman" w:hAnsi="Times New Roman" w:cs="Times New Roman"/>
          <w:sz w:val="18"/>
          <w:szCs w:val="18"/>
        </w:rPr>
        <w:t>Tjoa</w:t>
      </w:r>
      <w:proofErr w:type="spellEnd"/>
      <w:r w:rsidRPr="00852C75">
        <w:rPr>
          <w:rFonts w:ascii="Times New Roman" w:hAnsi="Times New Roman" w:cs="Times New Roman"/>
          <w:sz w:val="18"/>
          <w:szCs w:val="18"/>
        </w:rPr>
        <w:t xml:space="preserve"> S. Host-derived diagnostic markers for </w:t>
      </w:r>
      <w:proofErr w:type="spellStart"/>
      <w:r w:rsidRPr="00852C75">
        <w:rPr>
          <w:rFonts w:ascii="Times New Roman" w:hAnsi="Times New Roman" w:cs="Times New Roman"/>
          <w:sz w:val="18"/>
          <w:szCs w:val="18"/>
        </w:rPr>
        <w:t>periodontitis</w:t>
      </w:r>
      <w:proofErr w:type="spellEnd"/>
      <w:r w:rsidRPr="00852C75">
        <w:rPr>
          <w:rFonts w:ascii="Times New Roman" w:hAnsi="Times New Roman" w:cs="Times New Roman"/>
          <w:sz w:val="18"/>
          <w:szCs w:val="18"/>
        </w:rPr>
        <w:t xml:space="preserve">: do they exist in gingival crevice fluid? </w:t>
      </w:r>
      <w:proofErr w:type="spellStart"/>
      <w:r w:rsidRPr="00852C75">
        <w:rPr>
          <w:rFonts w:ascii="Times New Roman" w:hAnsi="Times New Roman" w:cs="Times New Roman"/>
          <w:sz w:val="18"/>
          <w:szCs w:val="18"/>
        </w:rPr>
        <w:t>Periodontol</w:t>
      </w:r>
      <w:proofErr w:type="spellEnd"/>
      <w:r w:rsidRPr="00852C75">
        <w:rPr>
          <w:rFonts w:ascii="Times New Roman" w:hAnsi="Times New Roman" w:cs="Times New Roman"/>
          <w:sz w:val="18"/>
          <w:szCs w:val="18"/>
        </w:rPr>
        <w:t xml:space="preserve"> 2000. 2005</w:t>
      </w:r>
      <w:proofErr w:type="gramStart"/>
      <w:r w:rsidRPr="00852C75">
        <w:rPr>
          <w:rFonts w:ascii="Times New Roman" w:hAnsi="Times New Roman" w:cs="Times New Roman"/>
          <w:sz w:val="18"/>
          <w:szCs w:val="18"/>
        </w:rPr>
        <w:t>;39:53</w:t>
      </w:r>
      <w:proofErr w:type="gramEnd"/>
      <w:r w:rsidRPr="00852C75">
        <w:rPr>
          <w:rFonts w:ascii="Times New Roman" w:hAnsi="Times New Roman" w:cs="Times New Roman"/>
          <w:sz w:val="18"/>
          <w:szCs w:val="18"/>
        </w:rPr>
        <w:t>–72.</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color w:val="000000"/>
          <w:sz w:val="18"/>
          <w:szCs w:val="18"/>
        </w:rPr>
        <w:t>Spielmann</w:t>
      </w:r>
      <w:proofErr w:type="spellEnd"/>
      <w:r w:rsidRPr="00852C75">
        <w:rPr>
          <w:rFonts w:ascii="Times New Roman" w:hAnsi="Times New Roman" w:cs="Times New Roman"/>
          <w:color w:val="000000"/>
          <w:sz w:val="18"/>
          <w:szCs w:val="18"/>
        </w:rPr>
        <w:t xml:space="preserve"> N, Wong DT. Saliva: diagnostics and therapeutic perspectives. Oral </w:t>
      </w:r>
      <w:r w:rsidRPr="00852C75">
        <w:rPr>
          <w:rStyle w:val="A8"/>
          <w:rFonts w:ascii="Times New Roman" w:hAnsi="Times New Roman" w:cs="Times New Roman"/>
          <w:sz w:val="18"/>
          <w:szCs w:val="18"/>
        </w:rPr>
        <w:t>[13</w:t>
      </w:r>
      <w:proofErr w:type="gramStart"/>
      <w:r w:rsidRPr="00852C75">
        <w:rPr>
          <w:rStyle w:val="A8"/>
          <w:rFonts w:ascii="Times New Roman" w:hAnsi="Times New Roman" w:cs="Times New Roman"/>
          <w:sz w:val="18"/>
          <w:szCs w:val="18"/>
        </w:rPr>
        <w:t>]</w:t>
      </w:r>
      <w:r w:rsidRPr="00852C75">
        <w:rPr>
          <w:rFonts w:ascii="Times New Roman" w:hAnsi="Times New Roman" w:cs="Times New Roman"/>
          <w:color w:val="000000"/>
          <w:sz w:val="18"/>
          <w:szCs w:val="18"/>
        </w:rPr>
        <w:t>Diseases</w:t>
      </w:r>
      <w:proofErr w:type="gramEnd"/>
      <w:r w:rsidRPr="00852C75">
        <w:rPr>
          <w:rFonts w:ascii="Times New Roman" w:hAnsi="Times New Roman" w:cs="Times New Roman"/>
          <w:color w:val="000000"/>
          <w:sz w:val="18"/>
          <w:szCs w:val="18"/>
        </w:rPr>
        <w:t>. 2011</w:t>
      </w:r>
      <w:proofErr w:type="gramStart"/>
      <w:r w:rsidRPr="00852C75">
        <w:rPr>
          <w:rFonts w:ascii="Times New Roman" w:hAnsi="Times New Roman" w:cs="Times New Roman"/>
          <w:color w:val="000000"/>
          <w:sz w:val="18"/>
          <w:szCs w:val="18"/>
        </w:rPr>
        <w:t>;17:345</w:t>
      </w:r>
      <w:proofErr w:type="gramEnd"/>
      <w:r w:rsidRPr="00852C75">
        <w:rPr>
          <w:rFonts w:ascii="Times New Roman" w:hAnsi="Times New Roman" w:cs="Times New Roman"/>
          <w:color w:val="000000"/>
          <w:sz w:val="18"/>
          <w:szCs w:val="18"/>
        </w:rPr>
        <w:t>–54.</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r w:rsidRPr="00852C75">
        <w:rPr>
          <w:rFonts w:ascii="Times New Roman" w:hAnsi="Times New Roman" w:cs="Times New Roman"/>
          <w:color w:val="000000"/>
          <w:sz w:val="18"/>
          <w:szCs w:val="18"/>
        </w:rPr>
        <w:t xml:space="preserve">Wong DT. </w:t>
      </w:r>
      <w:proofErr w:type="spellStart"/>
      <w:r w:rsidRPr="00852C75">
        <w:rPr>
          <w:rFonts w:ascii="Times New Roman" w:hAnsi="Times New Roman" w:cs="Times New Roman"/>
          <w:color w:val="000000"/>
          <w:sz w:val="18"/>
          <w:szCs w:val="18"/>
        </w:rPr>
        <w:t>Salivaomics</w:t>
      </w:r>
      <w:proofErr w:type="spellEnd"/>
      <w:r w:rsidRPr="00852C75">
        <w:rPr>
          <w:rFonts w:ascii="Times New Roman" w:hAnsi="Times New Roman" w:cs="Times New Roman"/>
          <w:color w:val="000000"/>
          <w:sz w:val="18"/>
          <w:szCs w:val="18"/>
        </w:rPr>
        <w:t>. J. Am Dent Assoc. 2012</w:t>
      </w:r>
      <w:proofErr w:type="gramStart"/>
      <w:r w:rsidRPr="00852C75">
        <w:rPr>
          <w:rFonts w:ascii="Times New Roman" w:hAnsi="Times New Roman" w:cs="Times New Roman"/>
          <w:color w:val="000000"/>
          <w:sz w:val="18"/>
          <w:szCs w:val="18"/>
        </w:rPr>
        <w:t>;143:19S</w:t>
      </w:r>
      <w:proofErr w:type="gramEnd"/>
      <w:r w:rsidRPr="00852C75">
        <w:rPr>
          <w:rFonts w:ascii="Times New Roman" w:hAnsi="Times New Roman" w:cs="Times New Roman"/>
          <w:color w:val="000000"/>
          <w:sz w:val="18"/>
          <w:szCs w:val="18"/>
        </w:rPr>
        <w:t>-24S.</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color w:val="000000"/>
          <w:sz w:val="18"/>
          <w:szCs w:val="18"/>
        </w:rPr>
        <w:t>Christodoulides</w:t>
      </w:r>
      <w:proofErr w:type="spellEnd"/>
      <w:r w:rsidRPr="00852C75">
        <w:rPr>
          <w:rFonts w:ascii="Times New Roman" w:hAnsi="Times New Roman" w:cs="Times New Roman"/>
          <w:color w:val="000000"/>
          <w:sz w:val="18"/>
          <w:szCs w:val="18"/>
        </w:rPr>
        <w:t xml:space="preserve"> N, Tran M, </w:t>
      </w:r>
      <w:proofErr w:type="spellStart"/>
      <w:r w:rsidRPr="00852C75">
        <w:rPr>
          <w:rFonts w:ascii="Times New Roman" w:hAnsi="Times New Roman" w:cs="Times New Roman"/>
          <w:color w:val="000000"/>
          <w:sz w:val="18"/>
          <w:szCs w:val="18"/>
        </w:rPr>
        <w:t>Floriano</w:t>
      </w:r>
      <w:proofErr w:type="spellEnd"/>
      <w:r w:rsidRPr="00852C75">
        <w:rPr>
          <w:rFonts w:ascii="Times New Roman" w:hAnsi="Times New Roman" w:cs="Times New Roman"/>
          <w:color w:val="000000"/>
          <w:sz w:val="18"/>
          <w:szCs w:val="18"/>
        </w:rPr>
        <w:t xml:space="preserve"> PN, Rodriguez M, </w:t>
      </w:r>
      <w:proofErr w:type="spellStart"/>
      <w:r w:rsidRPr="00852C75">
        <w:rPr>
          <w:rFonts w:ascii="Times New Roman" w:hAnsi="Times New Roman" w:cs="Times New Roman"/>
          <w:color w:val="000000"/>
          <w:sz w:val="18"/>
          <w:szCs w:val="18"/>
        </w:rPr>
        <w:t>Goodey</w:t>
      </w:r>
      <w:proofErr w:type="spellEnd"/>
      <w:r w:rsidRPr="00852C75">
        <w:rPr>
          <w:rFonts w:ascii="Times New Roman" w:hAnsi="Times New Roman" w:cs="Times New Roman"/>
          <w:color w:val="000000"/>
          <w:sz w:val="18"/>
          <w:szCs w:val="18"/>
        </w:rPr>
        <w:t xml:space="preserve"> A, Ali M, et al. A microchip-based </w:t>
      </w:r>
      <w:proofErr w:type="spellStart"/>
      <w:r w:rsidRPr="00852C75">
        <w:rPr>
          <w:rFonts w:ascii="Times New Roman" w:hAnsi="Times New Roman" w:cs="Times New Roman"/>
          <w:color w:val="000000"/>
          <w:sz w:val="18"/>
          <w:szCs w:val="18"/>
        </w:rPr>
        <w:t>multianalyte</w:t>
      </w:r>
      <w:proofErr w:type="spellEnd"/>
      <w:r w:rsidRPr="00852C75">
        <w:rPr>
          <w:rFonts w:ascii="Times New Roman" w:hAnsi="Times New Roman" w:cs="Times New Roman"/>
          <w:color w:val="000000"/>
          <w:sz w:val="18"/>
          <w:szCs w:val="18"/>
        </w:rPr>
        <w:t xml:space="preserve"> assay system for the assessment of cardiac risk. Anal Chem. 2002; 74: 3030–36.</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color w:val="000000"/>
          <w:sz w:val="18"/>
          <w:szCs w:val="18"/>
        </w:rPr>
        <w:t>Patil</w:t>
      </w:r>
      <w:proofErr w:type="spellEnd"/>
      <w:r w:rsidRPr="00852C75">
        <w:rPr>
          <w:rFonts w:ascii="Times New Roman" w:hAnsi="Times New Roman" w:cs="Times New Roman"/>
          <w:color w:val="000000"/>
          <w:sz w:val="18"/>
          <w:szCs w:val="18"/>
        </w:rPr>
        <w:t xml:space="preserve"> PB, </w:t>
      </w:r>
      <w:proofErr w:type="spellStart"/>
      <w:r w:rsidRPr="00852C75">
        <w:rPr>
          <w:rFonts w:ascii="Times New Roman" w:hAnsi="Times New Roman" w:cs="Times New Roman"/>
          <w:color w:val="000000"/>
          <w:sz w:val="18"/>
          <w:szCs w:val="18"/>
        </w:rPr>
        <w:t>Patil</w:t>
      </w:r>
      <w:proofErr w:type="spellEnd"/>
      <w:r w:rsidRPr="00852C75">
        <w:rPr>
          <w:rFonts w:ascii="Times New Roman" w:hAnsi="Times New Roman" w:cs="Times New Roman"/>
          <w:color w:val="000000"/>
          <w:sz w:val="18"/>
          <w:szCs w:val="18"/>
        </w:rPr>
        <w:t xml:space="preserve"> BR. Saliva: A diagnostic biomarker of periodontal diseases. J </w:t>
      </w:r>
      <w:proofErr w:type="spellStart"/>
      <w:r w:rsidRPr="00852C75">
        <w:rPr>
          <w:rFonts w:ascii="Times New Roman" w:hAnsi="Times New Roman" w:cs="Times New Roman"/>
          <w:color w:val="000000"/>
          <w:sz w:val="18"/>
          <w:szCs w:val="18"/>
        </w:rPr>
        <w:t>Ind</w:t>
      </w:r>
      <w:proofErr w:type="spellEnd"/>
      <w:r w:rsidRPr="00852C75">
        <w:rPr>
          <w:rFonts w:ascii="Times New Roman" w:hAnsi="Times New Roman" w:cs="Times New Roman"/>
          <w:color w:val="000000"/>
          <w:sz w:val="18"/>
          <w:szCs w:val="18"/>
        </w:rPr>
        <w:t xml:space="preserve"> Soc </w:t>
      </w:r>
      <w:proofErr w:type="spellStart"/>
      <w:r w:rsidRPr="00852C75">
        <w:rPr>
          <w:rFonts w:ascii="Times New Roman" w:hAnsi="Times New Roman" w:cs="Times New Roman"/>
          <w:color w:val="000000"/>
          <w:sz w:val="18"/>
          <w:szCs w:val="18"/>
        </w:rPr>
        <w:t>Periodontol</w:t>
      </w:r>
      <w:proofErr w:type="spellEnd"/>
      <w:r w:rsidRPr="00852C75">
        <w:rPr>
          <w:rFonts w:ascii="Times New Roman" w:hAnsi="Times New Roman" w:cs="Times New Roman"/>
          <w:color w:val="000000"/>
          <w:sz w:val="18"/>
          <w:szCs w:val="18"/>
        </w:rPr>
        <w:t>. 2011</w:t>
      </w:r>
      <w:proofErr w:type="gramStart"/>
      <w:r w:rsidRPr="00852C75">
        <w:rPr>
          <w:rFonts w:ascii="Times New Roman" w:hAnsi="Times New Roman" w:cs="Times New Roman"/>
          <w:color w:val="000000"/>
          <w:sz w:val="18"/>
          <w:szCs w:val="18"/>
        </w:rPr>
        <w:t>;15:310</w:t>
      </w:r>
      <w:proofErr w:type="gramEnd"/>
      <w:r w:rsidRPr="00852C75">
        <w:rPr>
          <w:rFonts w:ascii="Times New Roman" w:hAnsi="Times New Roman" w:cs="Times New Roman"/>
          <w:color w:val="000000"/>
          <w:sz w:val="18"/>
          <w:szCs w:val="18"/>
        </w:rPr>
        <w:t>-17.</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sz w:val="18"/>
          <w:szCs w:val="18"/>
        </w:rPr>
        <w:t>Syedmoradi</w:t>
      </w:r>
      <w:proofErr w:type="spellEnd"/>
      <w:r w:rsidRPr="00852C75">
        <w:rPr>
          <w:rFonts w:ascii="Times New Roman" w:hAnsi="Times New Roman" w:cs="Times New Roman"/>
          <w:sz w:val="18"/>
          <w:szCs w:val="18"/>
        </w:rPr>
        <w:t xml:space="preserve">, L. et al. (2017) Point of care testing: the impact of nanotechnology. </w:t>
      </w:r>
      <w:proofErr w:type="spellStart"/>
      <w:r w:rsidRPr="00852C75">
        <w:rPr>
          <w:rFonts w:ascii="Times New Roman" w:hAnsi="Times New Roman" w:cs="Times New Roman"/>
          <w:sz w:val="18"/>
          <w:szCs w:val="18"/>
        </w:rPr>
        <w:t>Biosens</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Bioelectron</w:t>
      </w:r>
      <w:proofErr w:type="spellEnd"/>
      <w:r w:rsidRPr="00852C75">
        <w:rPr>
          <w:rFonts w:ascii="Times New Roman" w:hAnsi="Times New Roman" w:cs="Times New Roman"/>
          <w:sz w:val="18"/>
          <w:szCs w:val="18"/>
        </w:rPr>
        <w:t>. 87, 373–387</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r w:rsidRPr="00852C75">
        <w:rPr>
          <w:rFonts w:ascii="Times New Roman" w:hAnsi="Times New Roman" w:cs="Times New Roman"/>
          <w:sz w:val="18"/>
          <w:szCs w:val="18"/>
        </w:rPr>
        <w:t xml:space="preserve">You, M. et al. (2018) </w:t>
      </w:r>
      <w:proofErr w:type="spellStart"/>
      <w:r w:rsidRPr="00852C75">
        <w:rPr>
          <w:rFonts w:ascii="Times New Roman" w:hAnsi="Times New Roman" w:cs="Times New Roman"/>
          <w:sz w:val="18"/>
          <w:szCs w:val="18"/>
        </w:rPr>
        <w:t>Nanomaterial</w:t>
      </w:r>
      <w:proofErr w:type="spellEnd"/>
      <w:r w:rsidRPr="00852C75">
        <w:rPr>
          <w:rFonts w:ascii="Times New Roman" w:hAnsi="Times New Roman" w:cs="Times New Roman"/>
          <w:sz w:val="18"/>
          <w:szCs w:val="18"/>
        </w:rPr>
        <w:t xml:space="preserve">- and </w:t>
      </w:r>
      <w:proofErr w:type="spellStart"/>
      <w:r w:rsidRPr="00852C75">
        <w:rPr>
          <w:rFonts w:ascii="Times New Roman" w:hAnsi="Times New Roman" w:cs="Times New Roman"/>
          <w:sz w:val="18"/>
          <w:szCs w:val="18"/>
        </w:rPr>
        <w:t>micromaterial</w:t>
      </w:r>
      <w:proofErr w:type="spellEnd"/>
      <w:r w:rsidRPr="00852C75">
        <w:rPr>
          <w:rFonts w:ascii="Times New Roman" w:hAnsi="Times New Roman" w:cs="Times New Roman"/>
          <w:sz w:val="18"/>
          <w:szCs w:val="18"/>
        </w:rPr>
        <w:t>-based immunoassays. In Handbook of Immunoassay Technologies: Approaches, Performances, and Applications (</w:t>
      </w:r>
      <w:proofErr w:type="spellStart"/>
      <w:r w:rsidRPr="00852C75">
        <w:rPr>
          <w:rFonts w:ascii="Times New Roman" w:hAnsi="Times New Roman" w:cs="Times New Roman"/>
          <w:sz w:val="18"/>
          <w:szCs w:val="18"/>
        </w:rPr>
        <w:t>Vashist</w:t>
      </w:r>
      <w:proofErr w:type="spellEnd"/>
      <w:r w:rsidRPr="00852C75">
        <w:rPr>
          <w:rFonts w:ascii="Times New Roman" w:hAnsi="Times New Roman" w:cs="Times New Roman"/>
          <w:sz w:val="18"/>
          <w:szCs w:val="18"/>
        </w:rPr>
        <w:t xml:space="preserve">, S.K. and </w:t>
      </w:r>
      <w:proofErr w:type="spellStart"/>
      <w:r w:rsidRPr="00852C75">
        <w:rPr>
          <w:rFonts w:ascii="Times New Roman" w:hAnsi="Times New Roman" w:cs="Times New Roman"/>
          <w:sz w:val="18"/>
          <w:szCs w:val="18"/>
        </w:rPr>
        <w:t>Luong</w:t>
      </w:r>
      <w:proofErr w:type="spellEnd"/>
      <w:r w:rsidRPr="00852C75">
        <w:rPr>
          <w:rFonts w:ascii="Times New Roman" w:hAnsi="Times New Roman" w:cs="Times New Roman"/>
          <w:sz w:val="18"/>
          <w:szCs w:val="18"/>
        </w:rPr>
        <w:t xml:space="preserve">, J.H.T., </w:t>
      </w:r>
      <w:proofErr w:type="spellStart"/>
      <w:r w:rsidRPr="00852C75">
        <w:rPr>
          <w:rFonts w:ascii="Times New Roman" w:hAnsi="Times New Roman" w:cs="Times New Roman"/>
          <w:sz w:val="18"/>
          <w:szCs w:val="18"/>
        </w:rPr>
        <w:t>eds</w:t>
      </w:r>
      <w:proofErr w:type="spellEnd"/>
      <w:r w:rsidRPr="00852C75">
        <w:rPr>
          <w:rFonts w:ascii="Times New Roman" w:hAnsi="Times New Roman" w:cs="Times New Roman"/>
          <w:sz w:val="18"/>
          <w:szCs w:val="18"/>
        </w:rPr>
        <w:t>), pp. 273–304, Academic Press</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sz w:val="18"/>
          <w:szCs w:val="18"/>
        </w:rPr>
        <w:t>Dincer</w:t>
      </w:r>
      <w:proofErr w:type="spellEnd"/>
      <w:r w:rsidRPr="00852C75">
        <w:rPr>
          <w:rFonts w:ascii="Times New Roman" w:hAnsi="Times New Roman" w:cs="Times New Roman"/>
          <w:sz w:val="18"/>
          <w:szCs w:val="18"/>
        </w:rPr>
        <w:t xml:space="preserve">, C. et al. (2017) Multiplexed point-of-care testing – </w:t>
      </w:r>
      <w:proofErr w:type="spellStart"/>
      <w:r w:rsidRPr="00852C75">
        <w:rPr>
          <w:rFonts w:ascii="Times New Roman" w:hAnsi="Times New Roman" w:cs="Times New Roman"/>
          <w:sz w:val="18"/>
          <w:szCs w:val="18"/>
        </w:rPr>
        <w:t>xPOCT</w:t>
      </w:r>
      <w:proofErr w:type="spellEnd"/>
      <w:r w:rsidRPr="00852C75">
        <w:rPr>
          <w:rFonts w:ascii="Times New Roman" w:hAnsi="Times New Roman" w:cs="Times New Roman"/>
          <w:sz w:val="18"/>
          <w:szCs w:val="18"/>
        </w:rPr>
        <w:t xml:space="preserve">. Trends </w:t>
      </w:r>
      <w:proofErr w:type="spellStart"/>
      <w:r w:rsidRPr="00852C75">
        <w:rPr>
          <w:rFonts w:ascii="Times New Roman" w:hAnsi="Times New Roman" w:cs="Times New Roman"/>
          <w:sz w:val="18"/>
          <w:szCs w:val="18"/>
        </w:rPr>
        <w:t>Biotechnol</w:t>
      </w:r>
      <w:proofErr w:type="spellEnd"/>
      <w:r w:rsidRPr="00852C75">
        <w:rPr>
          <w:rFonts w:ascii="Times New Roman" w:hAnsi="Times New Roman" w:cs="Times New Roman"/>
          <w:sz w:val="18"/>
          <w:szCs w:val="18"/>
        </w:rPr>
        <w:t>. 35, 728–742</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sz w:val="18"/>
          <w:szCs w:val="18"/>
        </w:rPr>
        <w:t>Manz</w:t>
      </w:r>
      <w:proofErr w:type="spellEnd"/>
      <w:r w:rsidRPr="00852C75">
        <w:rPr>
          <w:rFonts w:ascii="Times New Roman" w:hAnsi="Times New Roman" w:cs="Times New Roman"/>
          <w:sz w:val="18"/>
          <w:szCs w:val="18"/>
        </w:rPr>
        <w:t xml:space="preserve">, A. et al. (1990) </w:t>
      </w:r>
      <w:proofErr w:type="gramStart"/>
      <w:r w:rsidRPr="00852C75">
        <w:rPr>
          <w:rFonts w:ascii="Times New Roman" w:hAnsi="Times New Roman" w:cs="Times New Roman"/>
          <w:sz w:val="18"/>
          <w:szCs w:val="18"/>
        </w:rPr>
        <w:t>Miniaturized</w:t>
      </w:r>
      <w:proofErr w:type="gramEnd"/>
      <w:r w:rsidRPr="00852C75">
        <w:rPr>
          <w:rFonts w:ascii="Times New Roman" w:hAnsi="Times New Roman" w:cs="Times New Roman"/>
          <w:sz w:val="18"/>
          <w:szCs w:val="18"/>
        </w:rPr>
        <w:t xml:space="preserve"> total chemical analysis systems: a novel concept for chemical sensing. Sens. Actuators 244–248</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r w:rsidRPr="00852C75">
        <w:rPr>
          <w:rFonts w:ascii="Times New Roman" w:hAnsi="Times New Roman" w:cs="Times New Roman"/>
          <w:sz w:val="18"/>
          <w:szCs w:val="18"/>
        </w:rPr>
        <w:t xml:space="preserve">Yamanaka, K. et al. (2014) Quantitative detection for </w:t>
      </w:r>
      <w:proofErr w:type="spellStart"/>
      <w:r w:rsidRPr="00852C75">
        <w:rPr>
          <w:rFonts w:ascii="Times New Roman" w:hAnsi="Times New Roman" w:cs="Times New Roman"/>
          <w:sz w:val="18"/>
          <w:szCs w:val="18"/>
        </w:rPr>
        <w:t>Porphyro-monas</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gingivalis</w:t>
      </w:r>
      <w:proofErr w:type="spellEnd"/>
      <w:r w:rsidRPr="00852C75">
        <w:rPr>
          <w:rFonts w:ascii="Times New Roman" w:hAnsi="Times New Roman" w:cs="Times New Roman"/>
          <w:sz w:val="18"/>
          <w:szCs w:val="18"/>
        </w:rPr>
        <w:t xml:space="preserve"> in tooth pocket and saliva by portable electro-chemical DNA sensor linked with PCR. </w:t>
      </w:r>
      <w:proofErr w:type="spellStart"/>
      <w:r w:rsidRPr="00852C75">
        <w:rPr>
          <w:rFonts w:ascii="Times New Roman" w:hAnsi="Times New Roman" w:cs="Times New Roman"/>
          <w:sz w:val="18"/>
          <w:szCs w:val="18"/>
        </w:rPr>
        <w:t>Electroanalysis</w:t>
      </w:r>
      <w:proofErr w:type="spellEnd"/>
      <w:r w:rsidRPr="00852C75">
        <w:rPr>
          <w:rFonts w:ascii="Times New Roman" w:hAnsi="Times New Roman" w:cs="Times New Roman"/>
          <w:sz w:val="18"/>
          <w:szCs w:val="18"/>
        </w:rPr>
        <w:t xml:space="preserve"> 26, 2686– 2692 72.</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proofErr w:type="spellStart"/>
      <w:r w:rsidRPr="00852C75">
        <w:rPr>
          <w:rFonts w:ascii="Times New Roman" w:hAnsi="Times New Roman" w:cs="Times New Roman"/>
          <w:sz w:val="18"/>
          <w:szCs w:val="18"/>
        </w:rPr>
        <w:t>Totu</w:t>
      </w:r>
      <w:proofErr w:type="spellEnd"/>
      <w:r w:rsidRPr="00852C75">
        <w:rPr>
          <w:rFonts w:ascii="Times New Roman" w:hAnsi="Times New Roman" w:cs="Times New Roman"/>
          <w:sz w:val="18"/>
          <w:szCs w:val="18"/>
        </w:rPr>
        <w:t xml:space="preserve">, E.E. et al. (2018) </w:t>
      </w:r>
      <w:proofErr w:type="gramStart"/>
      <w:r w:rsidRPr="00852C75">
        <w:rPr>
          <w:rFonts w:ascii="Times New Roman" w:hAnsi="Times New Roman" w:cs="Times New Roman"/>
          <w:sz w:val="18"/>
          <w:szCs w:val="18"/>
        </w:rPr>
        <w:t>New</w:t>
      </w:r>
      <w:proofErr w:type="gramEnd"/>
      <w:r w:rsidRPr="00852C75">
        <w:rPr>
          <w:rFonts w:ascii="Times New Roman" w:hAnsi="Times New Roman" w:cs="Times New Roman"/>
          <w:sz w:val="18"/>
          <w:szCs w:val="18"/>
        </w:rPr>
        <w:t xml:space="preserve"> sensor based on membranes with magnetic </w:t>
      </w:r>
      <w:proofErr w:type="spellStart"/>
      <w:r w:rsidRPr="00852C75">
        <w:rPr>
          <w:rFonts w:ascii="Times New Roman" w:hAnsi="Times New Roman" w:cs="Times New Roman"/>
          <w:sz w:val="18"/>
          <w:szCs w:val="18"/>
        </w:rPr>
        <w:t>nano</w:t>
      </w:r>
      <w:proofErr w:type="spellEnd"/>
      <w:r w:rsidRPr="00852C75">
        <w:rPr>
          <w:rFonts w:ascii="Times New Roman" w:hAnsi="Times New Roman" w:cs="Times New Roman"/>
          <w:sz w:val="18"/>
          <w:szCs w:val="18"/>
        </w:rPr>
        <w:t xml:space="preserve">-inclusions for early diagnosis in periodontal </w:t>
      </w:r>
      <w:proofErr w:type="spellStart"/>
      <w:r w:rsidRPr="00852C75">
        <w:rPr>
          <w:rFonts w:ascii="Times New Roman" w:hAnsi="Times New Roman" w:cs="Times New Roman"/>
          <w:sz w:val="18"/>
          <w:szCs w:val="18"/>
        </w:rPr>
        <w:t>dis</w:t>
      </w:r>
      <w:proofErr w:type="spellEnd"/>
      <w:r w:rsidRPr="00852C75">
        <w:rPr>
          <w:rFonts w:ascii="Times New Roman" w:hAnsi="Times New Roman" w:cs="Times New Roman"/>
          <w:sz w:val="18"/>
          <w:szCs w:val="18"/>
        </w:rPr>
        <w:t xml:space="preserve">-ease. </w:t>
      </w:r>
      <w:proofErr w:type="spellStart"/>
      <w:r w:rsidRPr="00852C75">
        <w:rPr>
          <w:rFonts w:ascii="Times New Roman" w:hAnsi="Times New Roman" w:cs="Times New Roman"/>
          <w:sz w:val="18"/>
          <w:szCs w:val="18"/>
        </w:rPr>
        <w:t>Biosens</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Bioelectron</w:t>
      </w:r>
      <w:proofErr w:type="spellEnd"/>
      <w:r w:rsidRPr="00852C75">
        <w:rPr>
          <w:rFonts w:ascii="Times New Roman" w:hAnsi="Times New Roman" w:cs="Times New Roman"/>
          <w:sz w:val="18"/>
          <w:szCs w:val="18"/>
        </w:rPr>
        <w:t xml:space="preserve">. 102, 336–344 </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eastAsia="MinionPro-Regular" w:hAnsi="Times New Roman" w:cs="Times New Roman"/>
          <w:sz w:val="18"/>
          <w:szCs w:val="18"/>
        </w:rPr>
      </w:pPr>
      <w:r w:rsidRPr="00852C75">
        <w:rPr>
          <w:rFonts w:ascii="Times New Roman" w:hAnsi="Times New Roman" w:cs="Times New Roman"/>
          <w:sz w:val="18"/>
          <w:szCs w:val="18"/>
        </w:rPr>
        <w:t>You, M. et al. (2017) Household fluorescent lateral flow strip platform for sensitive and quantitative prognosis of heart failure using dual-</w:t>
      </w:r>
      <w:proofErr w:type="spellStart"/>
      <w:r w:rsidRPr="00852C75">
        <w:rPr>
          <w:rFonts w:ascii="Times New Roman" w:hAnsi="Times New Roman" w:cs="Times New Roman"/>
          <w:sz w:val="18"/>
          <w:szCs w:val="18"/>
        </w:rPr>
        <w:t>color</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upconversion</w:t>
      </w:r>
      <w:proofErr w:type="spellEnd"/>
      <w:r w:rsidRPr="00852C75">
        <w:rPr>
          <w:rFonts w:ascii="Times New Roman" w:hAnsi="Times New Roman" w:cs="Times New Roman"/>
          <w:sz w:val="18"/>
          <w:szCs w:val="18"/>
        </w:rPr>
        <w:t xml:space="preserve"> </w:t>
      </w:r>
      <w:proofErr w:type="spellStart"/>
      <w:r w:rsidRPr="00852C75">
        <w:rPr>
          <w:rFonts w:ascii="Times New Roman" w:hAnsi="Times New Roman" w:cs="Times New Roman"/>
          <w:sz w:val="18"/>
          <w:szCs w:val="18"/>
        </w:rPr>
        <w:t>nanoparticles</w:t>
      </w:r>
      <w:proofErr w:type="spellEnd"/>
      <w:r w:rsidRPr="00852C75">
        <w:rPr>
          <w:rFonts w:ascii="Times New Roman" w:hAnsi="Times New Roman" w:cs="Times New Roman"/>
          <w:sz w:val="18"/>
          <w:szCs w:val="18"/>
        </w:rPr>
        <w:t xml:space="preserve">. ACS </w:t>
      </w:r>
      <w:proofErr w:type="spellStart"/>
      <w:r w:rsidRPr="00852C75">
        <w:rPr>
          <w:rFonts w:ascii="Times New Roman" w:hAnsi="Times New Roman" w:cs="Times New Roman"/>
          <w:sz w:val="18"/>
          <w:szCs w:val="18"/>
        </w:rPr>
        <w:t>Nano</w:t>
      </w:r>
      <w:proofErr w:type="spellEnd"/>
      <w:r w:rsidRPr="00852C75">
        <w:rPr>
          <w:rFonts w:ascii="Times New Roman" w:hAnsi="Times New Roman" w:cs="Times New Roman"/>
          <w:sz w:val="18"/>
          <w:szCs w:val="18"/>
        </w:rPr>
        <w:t xml:space="preserve"> 11, 6261–6270</w:t>
      </w:r>
    </w:p>
    <w:p w:rsidR="00852C75" w:rsidRPr="00852C75" w:rsidRDefault="00852C75" w:rsidP="00852C75">
      <w:pPr>
        <w:pStyle w:val="ListParagraph"/>
        <w:numPr>
          <w:ilvl w:val="0"/>
          <w:numId w:val="11"/>
        </w:numPr>
        <w:autoSpaceDE w:val="0"/>
        <w:autoSpaceDN w:val="0"/>
        <w:adjustRightInd w:val="0"/>
        <w:spacing w:after="0" w:line="360" w:lineRule="auto"/>
        <w:jc w:val="both"/>
        <w:rPr>
          <w:rFonts w:ascii="Times New Roman" w:hAnsi="Times New Roman" w:cs="Times New Roman"/>
          <w:sz w:val="18"/>
          <w:szCs w:val="18"/>
        </w:rPr>
      </w:pPr>
      <w:proofErr w:type="spellStart"/>
      <w:r w:rsidRPr="00852C75">
        <w:rPr>
          <w:rFonts w:ascii="Times New Roman" w:hAnsi="Times New Roman" w:cs="Times New Roman"/>
          <w:sz w:val="18"/>
          <w:szCs w:val="18"/>
        </w:rPr>
        <w:t>Chepuri</w:t>
      </w:r>
      <w:proofErr w:type="spellEnd"/>
      <w:r w:rsidRPr="00852C75">
        <w:rPr>
          <w:rFonts w:ascii="Times New Roman" w:hAnsi="Times New Roman" w:cs="Times New Roman"/>
          <w:sz w:val="18"/>
          <w:szCs w:val="18"/>
        </w:rPr>
        <w:t xml:space="preserve">, T. et al. (2015) Chair side diagnostic test kits in </w:t>
      </w:r>
      <w:proofErr w:type="spellStart"/>
      <w:r w:rsidRPr="00852C75">
        <w:rPr>
          <w:rFonts w:ascii="Times New Roman" w:hAnsi="Times New Roman" w:cs="Times New Roman"/>
          <w:sz w:val="18"/>
          <w:szCs w:val="18"/>
        </w:rPr>
        <w:t>peri-odontics</w:t>
      </w:r>
      <w:proofErr w:type="spellEnd"/>
      <w:r w:rsidRPr="00852C75">
        <w:rPr>
          <w:rFonts w:ascii="Times New Roman" w:hAnsi="Times New Roman" w:cs="Times New Roman"/>
          <w:sz w:val="18"/>
          <w:szCs w:val="18"/>
        </w:rPr>
        <w:t>. Indian J. Dent. 7, 41–45</w:t>
      </w:r>
    </w:p>
    <w:p w:rsidR="00852C75" w:rsidRPr="00852C75" w:rsidRDefault="00852C75" w:rsidP="00852C75">
      <w:pPr>
        <w:spacing w:after="0" w:line="360" w:lineRule="auto"/>
        <w:jc w:val="both"/>
        <w:rPr>
          <w:rFonts w:ascii="Times New Roman" w:hAnsi="Times New Roman" w:cs="Times New Roman"/>
          <w:sz w:val="18"/>
          <w:szCs w:val="18"/>
        </w:rPr>
      </w:pPr>
    </w:p>
    <w:p w:rsidR="00852C75" w:rsidRPr="0004745F" w:rsidRDefault="00852C75" w:rsidP="00852C75">
      <w:pPr>
        <w:pStyle w:val="NormalWeb"/>
        <w:shd w:val="clear" w:color="auto" w:fill="FFFFFF"/>
        <w:spacing w:before="300" w:beforeAutospacing="0" w:after="225" w:afterAutospacing="0" w:line="285" w:lineRule="atLeast"/>
        <w:ind w:left="170" w:right="225"/>
        <w:rPr>
          <w:color w:val="000000"/>
        </w:rPr>
      </w:pPr>
    </w:p>
    <w:p w:rsidR="00852C75" w:rsidRDefault="00852C75" w:rsidP="00852C75"/>
    <w:p w:rsidR="006D52C2" w:rsidRPr="00DC3D7D" w:rsidRDefault="006D52C2" w:rsidP="00DC3D7D">
      <w:pPr>
        <w:autoSpaceDE w:val="0"/>
        <w:autoSpaceDN w:val="0"/>
        <w:adjustRightInd w:val="0"/>
        <w:spacing w:after="0" w:line="360" w:lineRule="auto"/>
        <w:jc w:val="both"/>
        <w:rPr>
          <w:rFonts w:ascii="Times New Roman" w:hAnsi="Times New Roman" w:cs="Times New Roman"/>
          <w:sz w:val="20"/>
          <w:szCs w:val="20"/>
        </w:rPr>
      </w:pPr>
    </w:p>
    <w:sectPr w:rsidR="006D52C2" w:rsidRPr="00DC3D7D" w:rsidSect="00A433D5">
      <w:headerReference w:type="default" r:id="rId13"/>
      <w:footerReference w:type="default" r:id="rId14"/>
      <w:pgSz w:w="11906" w:h="16838"/>
      <w:pgMar w:top="1440" w:right="1440" w:bottom="1440" w:left="1440" w:header="708" w:footer="708" w:gutter="0"/>
      <w:pgNumType w:start="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738" w:rsidRDefault="004F4738" w:rsidP="00A433D5">
      <w:pPr>
        <w:spacing w:after="0" w:line="240" w:lineRule="auto"/>
      </w:pPr>
      <w:r>
        <w:separator/>
      </w:r>
    </w:p>
  </w:endnote>
  <w:endnote w:type="continuationSeparator" w:id="0">
    <w:p w:rsidR="004F4738" w:rsidRDefault="004F4738" w:rsidP="00A43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320829"/>
      <w:docPartObj>
        <w:docPartGallery w:val="Page Numbers (Bottom of Page)"/>
        <w:docPartUnique/>
      </w:docPartObj>
    </w:sdtPr>
    <w:sdtContent>
      <w:p w:rsidR="00A433D5" w:rsidRDefault="00F64F6B">
        <w:pPr>
          <w:pStyle w:val="Footer"/>
          <w:jc w:val="right"/>
        </w:pPr>
        <w:fldSimple w:instr=" PAGE   \* MERGEFORMAT ">
          <w:r w:rsidR="00EB6C8F">
            <w:rPr>
              <w:noProof/>
            </w:rPr>
            <w:t>30</w:t>
          </w:r>
        </w:fldSimple>
      </w:p>
    </w:sdtContent>
  </w:sdt>
  <w:p w:rsidR="00A433D5" w:rsidRPr="001F6331" w:rsidRDefault="00A433D5" w:rsidP="00A433D5">
    <w:pPr>
      <w:tabs>
        <w:tab w:val="left" w:pos="3540"/>
      </w:tabs>
      <w:jc w:val="center"/>
      <w:rPr>
        <w:rFonts w:ascii="Times New Roman" w:hAnsi="Times New Roman" w:cs="Times New Roman"/>
        <w:sz w:val="18"/>
        <w:szCs w:val="18"/>
      </w:rPr>
    </w:pPr>
    <w:r w:rsidRPr="001F6331">
      <w:rPr>
        <w:rFonts w:ascii="Times New Roman" w:eastAsia="Times New Roman" w:hAnsi="Times New Roman" w:cs="Times New Roman"/>
        <w:sz w:val="18"/>
        <w:szCs w:val="18"/>
      </w:rPr>
      <w:t>www.jgdch.com</w:t>
    </w:r>
    <w:r w:rsidRPr="001F6331">
      <w:rPr>
        <w:rFonts w:ascii="Times New Roman" w:hAnsi="Times New Roman" w:cs="Times New Roman"/>
        <w:sz w:val="18"/>
        <w:szCs w:val="18"/>
      </w:rPr>
      <w:t>, PISSN: 2394- 8701, E ISSN: 2394 – 871X</w:t>
    </w:r>
  </w:p>
  <w:p w:rsidR="00A433D5" w:rsidRDefault="00A433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738" w:rsidRDefault="004F4738" w:rsidP="00A433D5">
      <w:pPr>
        <w:spacing w:after="0" w:line="240" w:lineRule="auto"/>
      </w:pPr>
      <w:r>
        <w:separator/>
      </w:r>
    </w:p>
  </w:footnote>
  <w:footnote w:type="continuationSeparator" w:id="0">
    <w:p w:rsidR="004F4738" w:rsidRDefault="004F4738" w:rsidP="00A433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3D5" w:rsidRPr="00F67CC5" w:rsidRDefault="00A433D5" w:rsidP="00A433D5">
    <w:pPr>
      <w:pStyle w:val="Header"/>
      <w:ind w:firstLine="720"/>
      <w:rPr>
        <w:rFonts w:ascii="Times New Roman" w:eastAsia="Times New Roman" w:hAnsi="Times New Roman" w:cs="Times New Roman"/>
        <w:sz w:val="20"/>
        <w:szCs w:val="20"/>
      </w:rPr>
    </w:pPr>
    <w:r w:rsidRPr="00B64E3C">
      <w:rPr>
        <w:rFonts w:ascii="Times New Roman" w:eastAsia="Times New Roman" w:hAnsi="Times New Roman" w:cs="Times New Roman"/>
        <w:sz w:val="20"/>
        <w:szCs w:val="20"/>
      </w:rPr>
      <w:t>Journal of Government Dent</w:t>
    </w:r>
    <w:r w:rsidR="00EB6C8F">
      <w:rPr>
        <w:rFonts w:ascii="Times New Roman" w:eastAsia="Times New Roman" w:hAnsi="Times New Roman" w:cs="Times New Roman"/>
        <w:sz w:val="20"/>
        <w:szCs w:val="20"/>
      </w:rPr>
      <w:t>al College and Hospital, March 2019</w:t>
    </w:r>
    <w:r>
      <w:rPr>
        <w:rFonts w:ascii="Times New Roman" w:eastAsia="Times New Roman" w:hAnsi="Times New Roman" w:cs="Times New Roman"/>
        <w:sz w:val="20"/>
        <w:szCs w:val="20"/>
      </w:rPr>
      <w:t xml:space="preserve">, Vol.-05, Issue- 02, P. </w:t>
    </w:r>
    <w:r w:rsidR="00852C75">
      <w:rPr>
        <w:rFonts w:ascii="Times New Roman" w:eastAsia="Times New Roman" w:hAnsi="Times New Roman" w:cs="Times New Roman"/>
        <w:sz w:val="20"/>
        <w:szCs w:val="20"/>
      </w:rPr>
      <w:t>30 - 38</w:t>
    </w:r>
  </w:p>
  <w:p w:rsidR="00A433D5" w:rsidRDefault="00A433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619CA"/>
    <w:multiLevelType w:val="hybridMultilevel"/>
    <w:tmpl w:val="366088EE"/>
    <w:lvl w:ilvl="0" w:tplc="64A229A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92C75AF"/>
    <w:multiLevelType w:val="hybridMultilevel"/>
    <w:tmpl w:val="D6647A20"/>
    <w:lvl w:ilvl="0" w:tplc="C8E6AC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E4A33E7"/>
    <w:multiLevelType w:val="hybridMultilevel"/>
    <w:tmpl w:val="3EA6F510"/>
    <w:lvl w:ilvl="0" w:tplc="02D29F8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2C2128B"/>
    <w:multiLevelType w:val="hybridMultilevel"/>
    <w:tmpl w:val="E7041448"/>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F93513E"/>
    <w:multiLevelType w:val="hybridMultilevel"/>
    <w:tmpl w:val="FCA046A2"/>
    <w:lvl w:ilvl="0" w:tplc="2C842B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BD762A7"/>
    <w:multiLevelType w:val="hybridMultilevel"/>
    <w:tmpl w:val="BF860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6E57248"/>
    <w:multiLevelType w:val="hybridMultilevel"/>
    <w:tmpl w:val="50DA28D4"/>
    <w:lvl w:ilvl="0" w:tplc="67D82ED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E8D48A6"/>
    <w:multiLevelType w:val="hybridMultilevel"/>
    <w:tmpl w:val="1AACA5BC"/>
    <w:lvl w:ilvl="0" w:tplc="05248E7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1625906"/>
    <w:multiLevelType w:val="hybridMultilevel"/>
    <w:tmpl w:val="609CB6A8"/>
    <w:lvl w:ilvl="0" w:tplc="086ED9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C7076C7"/>
    <w:multiLevelType w:val="hybridMultilevel"/>
    <w:tmpl w:val="072A4112"/>
    <w:lvl w:ilvl="0" w:tplc="C608B55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D0451F4"/>
    <w:multiLevelType w:val="hybridMultilevel"/>
    <w:tmpl w:val="FD2E91AA"/>
    <w:lvl w:ilvl="0" w:tplc="4D6EC6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FE95042"/>
    <w:multiLevelType w:val="hybridMultilevel"/>
    <w:tmpl w:val="A8A4369C"/>
    <w:lvl w:ilvl="0" w:tplc="6622BE9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9"/>
  </w:num>
  <w:num w:numId="3">
    <w:abstractNumId w:val="8"/>
  </w:num>
  <w:num w:numId="4">
    <w:abstractNumId w:val="1"/>
  </w:num>
  <w:num w:numId="5">
    <w:abstractNumId w:val="2"/>
  </w:num>
  <w:num w:numId="6">
    <w:abstractNumId w:val="11"/>
  </w:num>
  <w:num w:numId="7">
    <w:abstractNumId w:val="7"/>
  </w:num>
  <w:num w:numId="8">
    <w:abstractNumId w:val="4"/>
  </w:num>
  <w:num w:numId="9">
    <w:abstractNumId w:val="10"/>
  </w:num>
  <w:num w:numId="10">
    <w:abstractNumId w:val="0"/>
  </w:num>
  <w:num w:numId="11">
    <w:abstractNumId w:val="3"/>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085117"/>
    <w:rsid w:val="0004369F"/>
    <w:rsid w:val="00076561"/>
    <w:rsid w:val="00085117"/>
    <w:rsid w:val="0018182B"/>
    <w:rsid w:val="001B2AD1"/>
    <w:rsid w:val="00205D90"/>
    <w:rsid w:val="002064D7"/>
    <w:rsid w:val="00242AF3"/>
    <w:rsid w:val="002843C9"/>
    <w:rsid w:val="003556CE"/>
    <w:rsid w:val="00356CA5"/>
    <w:rsid w:val="003C7473"/>
    <w:rsid w:val="003D1330"/>
    <w:rsid w:val="003F6A1D"/>
    <w:rsid w:val="004617E8"/>
    <w:rsid w:val="0047141A"/>
    <w:rsid w:val="004959A0"/>
    <w:rsid w:val="004A28C2"/>
    <w:rsid w:val="004B3323"/>
    <w:rsid w:val="004F4738"/>
    <w:rsid w:val="005805EF"/>
    <w:rsid w:val="005E5D98"/>
    <w:rsid w:val="005E6A45"/>
    <w:rsid w:val="006921A6"/>
    <w:rsid w:val="006D303C"/>
    <w:rsid w:val="006D52C2"/>
    <w:rsid w:val="00722B6B"/>
    <w:rsid w:val="00737EE9"/>
    <w:rsid w:val="00781070"/>
    <w:rsid w:val="007E2584"/>
    <w:rsid w:val="00833493"/>
    <w:rsid w:val="00852C75"/>
    <w:rsid w:val="008A3663"/>
    <w:rsid w:val="008E4D55"/>
    <w:rsid w:val="008F4B01"/>
    <w:rsid w:val="009A532E"/>
    <w:rsid w:val="009B64DE"/>
    <w:rsid w:val="00A23CA9"/>
    <w:rsid w:val="00A433D5"/>
    <w:rsid w:val="00A4624B"/>
    <w:rsid w:val="00A50341"/>
    <w:rsid w:val="00AA6CED"/>
    <w:rsid w:val="00B0777E"/>
    <w:rsid w:val="00B11F0C"/>
    <w:rsid w:val="00B56F7B"/>
    <w:rsid w:val="00B726A2"/>
    <w:rsid w:val="00BB6E80"/>
    <w:rsid w:val="00C42D65"/>
    <w:rsid w:val="00C51C01"/>
    <w:rsid w:val="00C66E4C"/>
    <w:rsid w:val="00CA2B39"/>
    <w:rsid w:val="00CC0DC8"/>
    <w:rsid w:val="00CD18CE"/>
    <w:rsid w:val="00D117B7"/>
    <w:rsid w:val="00D75783"/>
    <w:rsid w:val="00DC3D7D"/>
    <w:rsid w:val="00E06170"/>
    <w:rsid w:val="00E42BE8"/>
    <w:rsid w:val="00EB5E22"/>
    <w:rsid w:val="00EB6C8F"/>
    <w:rsid w:val="00F64F6B"/>
    <w:rsid w:val="00F830CC"/>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8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4D7"/>
    <w:rPr>
      <w:rFonts w:ascii="Tahoma" w:hAnsi="Tahoma" w:cs="Tahoma"/>
      <w:sz w:val="16"/>
      <w:szCs w:val="16"/>
    </w:rPr>
  </w:style>
  <w:style w:type="paragraph" w:customStyle="1" w:styleId="Default">
    <w:name w:val="Default"/>
    <w:rsid w:val="002064D7"/>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A8">
    <w:name w:val="A8"/>
    <w:uiPriority w:val="99"/>
    <w:rsid w:val="002064D7"/>
    <w:rPr>
      <w:rFonts w:ascii="Helvetica 65 Medium" w:hAnsi="Helvetica 65 Medium" w:cs="Helvetica 65 Medium"/>
      <w:color w:val="000000"/>
      <w:sz w:val="14"/>
      <w:szCs w:val="14"/>
    </w:rPr>
  </w:style>
  <w:style w:type="paragraph" w:customStyle="1" w:styleId="Pa13">
    <w:name w:val="Pa13"/>
    <w:basedOn w:val="Default"/>
    <w:next w:val="Default"/>
    <w:uiPriority w:val="99"/>
    <w:rsid w:val="002064D7"/>
    <w:pPr>
      <w:spacing w:line="141" w:lineRule="atLeast"/>
    </w:pPr>
    <w:rPr>
      <w:rFonts w:cstheme="minorBidi"/>
      <w:color w:val="auto"/>
    </w:rPr>
  </w:style>
  <w:style w:type="character" w:styleId="Emphasis">
    <w:name w:val="Emphasis"/>
    <w:basedOn w:val="DefaultParagraphFont"/>
    <w:uiPriority w:val="20"/>
    <w:qFormat/>
    <w:rsid w:val="004617E8"/>
    <w:rPr>
      <w:i/>
      <w:iCs/>
    </w:rPr>
  </w:style>
  <w:style w:type="character" w:styleId="Hyperlink">
    <w:name w:val="Hyperlink"/>
    <w:basedOn w:val="DefaultParagraphFont"/>
    <w:uiPriority w:val="99"/>
    <w:unhideWhenUsed/>
    <w:rsid w:val="004617E8"/>
    <w:rPr>
      <w:color w:val="0000FF"/>
      <w:u w:val="single"/>
    </w:rPr>
  </w:style>
  <w:style w:type="character" w:customStyle="1" w:styleId="A5">
    <w:name w:val="A5"/>
    <w:uiPriority w:val="99"/>
    <w:rsid w:val="0004369F"/>
    <w:rPr>
      <w:rFonts w:ascii="Helvetica 45 Light" w:hAnsi="Helvetica 45 Light" w:cs="Helvetica 45 Light"/>
      <w:color w:val="000000"/>
      <w:sz w:val="18"/>
      <w:szCs w:val="18"/>
    </w:rPr>
  </w:style>
  <w:style w:type="paragraph" w:customStyle="1" w:styleId="Pa6">
    <w:name w:val="Pa6"/>
    <w:basedOn w:val="Default"/>
    <w:next w:val="Default"/>
    <w:uiPriority w:val="99"/>
    <w:rsid w:val="00EB5E22"/>
    <w:pPr>
      <w:spacing w:line="181" w:lineRule="atLeast"/>
    </w:pPr>
    <w:rPr>
      <w:rFonts w:cstheme="minorBidi"/>
      <w:color w:val="auto"/>
    </w:rPr>
  </w:style>
  <w:style w:type="table" w:styleId="TableGrid">
    <w:name w:val="Table Grid"/>
    <w:basedOn w:val="TableNormal"/>
    <w:uiPriority w:val="59"/>
    <w:rsid w:val="00A23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6CED"/>
    <w:pPr>
      <w:ind w:left="720"/>
      <w:contextualSpacing/>
    </w:pPr>
  </w:style>
  <w:style w:type="paragraph" w:styleId="Header">
    <w:name w:val="header"/>
    <w:aliases w:val=" Char"/>
    <w:basedOn w:val="Normal"/>
    <w:link w:val="HeaderChar"/>
    <w:uiPriority w:val="99"/>
    <w:unhideWhenUsed/>
    <w:rsid w:val="00A433D5"/>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A433D5"/>
  </w:style>
  <w:style w:type="paragraph" w:styleId="Footer">
    <w:name w:val="footer"/>
    <w:basedOn w:val="Normal"/>
    <w:link w:val="FooterChar"/>
    <w:uiPriority w:val="99"/>
    <w:unhideWhenUsed/>
    <w:rsid w:val="00A43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3D5"/>
  </w:style>
  <w:style w:type="paragraph" w:styleId="NormalWeb">
    <w:name w:val="Normal (Web)"/>
    <w:basedOn w:val="Normal"/>
    <w:uiPriority w:val="99"/>
    <w:unhideWhenUsed/>
    <w:rsid w:val="00852C75"/>
    <w:pPr>
      <w:spacing w:before="100" w:beforeAutospacing="1" w:after="100" w:afterAutospacing="1" w:line="240" w:lineRule="auto"/>
    </w:pPr>
    <w:rPr>
      <w:rFonts w:ascii="Times New Roman" w:eastAsia="Times New Roman" w:hAnsi="Times New Roman" w:cs="Times New Roman"/>
      <w:sz w:val="24"/>
      <w:szCs w:val="24"/>
      <w:lang w:eastAsia="en-IN" w:bidi="gu-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4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4D7"/>
    <w:rPr>
      <w:rFonts w:ascii="Tahoma" w:hAnsi="Tahoma" w:cs="Tahoma"/>
      <w:sz w:val="16"/>
      <w:szCs w:val="16"/>
    </w:rPr>
  </w:style>
  <w:style w:type="paragraph" w:customStyle="1" w:styleId="Default">
    <w:name w:val="Default"/>
    <w:rsid w:val="002064D7"/>
    <w:pPr>
      <w:autoSpaceDE w:val="0"/>
      <w:autoSpaceDN w:val="0"/>
      <w:adjustRightInd w:val="0"/>
      <w:spacing w:after="0" w:line="240" w:lineRule="auto"/>
    </w:pPr>
    <w:rPr>
      <w:rFonts w:ascii="Helvetica 45 Light" w:hAnsi="Helvetica 45 Light" w:cs="Helvetica 45 Light"/>
      <w:color w:val="000000"/>
      <w:sz w:val="24"/>
      <w:szCs w:val="24"/>
    </w:rPr>
  </w:style>
  <w:style w:type="character" w:customStyle="1" w:styleId="A8">
    <w:name w:val="A8"/>
    <w:uiPriority w:val="99"/>
    <w:rsid w:val="002064D7"/>
    <w:rPr>
      <w:rFonts w:ascii="Helvetica 65 Medium" w:hAnsi="Helvetica 65 Medium" w:cs="Helvetica 65 Medium"/>
      <w:color w:val="000000"/>
      <w:sz w:val="14"/>
      <w:szCs w:val="14"/>
    </w:rPr>
  </w:style>
  <w:style w:type="paragraph" w:customStyle="1" w:styleId="Pa13">
    <w:name w:val="Pa13"/>
    <w:basedOn w:val="Default"/>
    <w:next w:val="Default"/>
    <w:uiPriority w:val="99"/>
    <w:rsid w:val="002064D7"/>
    <w:pPr>
      <w:spacing w:line="141" w:lineRule="atLeast"/>
    </w:pPr>
    <w:rPr>
      <w:rFonts w:cstheme="minorBidi"/>
      <w:color w:val="auto"/>
    </w:rPr>
  </w:style>
  <w:style w:type="character" w:styleId="Emphasis">
    <w:name w:val="Emphasis"/>
    <w:basedOn w:val="DefaultParagraphFont"/>
    <w:uiPriority w:val="20"/>
    <w:qFormat/>
    <w:rsid w:val="004617E8"/>
    <w:rPr>
      <w:i/>
      <w:iCs/>
    </w:rPr>
  </w:style>
  <w:style w:type="character" w:styleId="Hyperlink">
    <w:name w:val="Hyperlink"/>
    <w:basedOn w:val="DefaultParagraphFont"/>
    <w:uiPriority w:val="99"/>
    <w:unhideWhenUsed/>
    <w:rsid w:val="004617E8"/>
    <w:rPr>
      <w:color w:val="0000FF"/>
      <w:u w:val="single"/>
    </w:rPr>
  </w:style>
  <w:style w:type="character" w:customStyle="1" w:styleId="A5">
    <w:name w:val="A5"/>
    <w:uiPriority w:val="99"/>
    <w:rsid w:val="0004369F"/>
    <w:rPr>
      <w:rFonts w:ascii="Helvetica 45 Light" w:hAnsi="Helvetica 45 Light" w:cs="Helvetica 45 Light"/>
      <w:color w:val="000000"/>
      <w:sz w:val="18"/>
      <w:szCs w:val="18"/>
    </w:rPr>
  </w:style>
  <w:style w:type="paragraph" w:customStyle="1" w:styleId="Pa6">
    <w:name w:val="Pa6"/>
    <w:basedOn w:val="Default"/>
    <w:next w:val="Default"/>
    <w:uiPriority w:val="99"/>
    <w:rsid w:val="00EB5E22"/>
    <w:pPr>
      <w:spacing w:line="181" w:lineRule="atLeast"/>
    </w:pPr>
    <w:rPr>
      <w:rFonts w:cstheme="minorBidi"/>
      <w:color w:val="auto"/>
    </w:rPr>
  </w:style>
  <w:style w:type="table" w:styleId="TableGrid">
    <w:name w:val="Table Grid"/>
    <w:basedOn w:val="TableNormal"/>
    <w:uiPriority w:val="59"/>
    <w:rsid w:val="00A23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6CED"/>
    <w:pPr>
      <w:ind w:left="720"/>
      <w:contextualSpacing/>
    </w:pPr>
  </w:style>
</w:styles>
</file>

<file path=word/webSettings.xml><?xml version="1.0" encoding="utf-8"?>
<w:webSettings xmlns:r="http://schemas.openxmlformats.org/officeDocument/2006/relationships" xmlns:w="http://schemas.openxmlformats.org/wordprocessingml/2006/main">
  <w:divs>
    <w:div w:id="686643201">
      <w:bodyDiv w:val="1"/>
      <w:marLeft w:val="0"/>
      <w:marRight w:val="0"/>
      <w:marTop w:val="0"/>
      <w:marBottom w:val="0"/>
      <w:divBdr>
        <w:top w:val="none" w:sz="0" w:space="0" w:color="auto"/>
        <w:left w:val="none" w:sz="0" w:space="0" w:color="auto"/>
        <w:bottom w:val="none" w:sz="0" w:space="0" w:color="auto"/>
        <w:right w:val="none" w:sz="0" w:space="0" w:color="auto"/>
      </w:divBdr>
      <w:divsChild>
        <w:div w:id="448352783">
          <w:marLeft w:val="0"/>
          <w:marRight w:val="0"/>
          <w:marTop w:val="0"/>
          <w:marBottom w:val="0"/>
          <w:divBdr>
            <w:top w:val="none" w:sz="0" w:space="0" w:color="auto"/>
            <w:left w:val="none" w:sz="0" w:space="0" w:color="auto"/>
            <w:bottom w:val="none" w:sz="0" w:space="0" w:color="auto"/>
            <w:right w:val="none" w:sz="0" w:space="0" w:color="auto"/>
          </w:divBdr>
        </w:div>
        <w:div w:id="678432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B543-C8D3-4FD2-8D5A-8D550E6E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2897</Words>
  <Characters>16513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15</cp:revision>
  <cp:lastPrinted>2020-02-08T13:49:00Z</cp:lastPrinted>
  <dcterms:created xsi:type="dcterms:W3CDTF">2019-09-07T10:43:00Z</dcterms:created>
  <dcterms:modified xsi:type="dcterms:W3CDTF">2020-02-08T13:49:00Z</dcterms:modified>
</cp:coreProperties>
</file>